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6C3B5" w14:textId="77777777" w:rsidR="005938FE" w:rsidRPr="006D45E2" w:rsidRDefault="005938FE" w:rsidP="005938FE">
      <w:pPr>
        <w:jc w:val="center"/>
        <w:rPr>
          <w:b/>
          <w:sz w:val="22"/>
          <w:szCs w:val="22"/>
        </w:rPr>
      </w:pPr>
      <w:r w:rsidRPr="006D45E2">
        <w:rPr>
          <w:b/>
          <w:sz w:val="22"/>
          <w:szCs w:val="22"/>
        </w:rPr>
        <w:t>Trademark Law: An Open-Source Casebook</w:t>
      </w:r>
    </w:p>
    <w:p w14:paraId="06FEB938" w14:textId="77777777" w:rsidR="005938FE" w:rsidRPr="006D45E2" w:rsidRDefault="005938FE" w:rsidP="005938FE">
      <w:pPr>
        <w:jc w:val="center"/>
        <w:rPr>
          <w:b/>
          <w:sz w:val="22"/>
          <w:szCs w:val="22"/>
        </w:rPr>
      </w:pPr>
    </w:p>
    <w:p w14:paraId="7514513D" w14:textId="581FD296" w:rsidR="005938FE" w:rsidRPr="006D45E2" w:rsidRDefault="005938FE" w:rsidP="005938FE">
      <w:pPr>
        <w:jc w:val="center"/>
        <w:rPr>
          <w:b/>
          <w:sz w:val="22"/>
          <w:szCs w:val="22"/>
        </w:rPr>
      </w:pPr>
      <w:r w:rsidRPr="006D45E2">
        <w:rPr>
          <w:b/>
          <w:sz w:val="22"/>
          <w:szCs w:val="22"/>
        </w:rPr>
        <w:t xml:space="preserve">Significant Changes from Version </w:t>
      </w:r>
      <w:r w:rsidR="002611EC">
        <w:rPr>
          <w:b/>
          <w:sz w:val="22"/>
          <w:szCs w:val="22"/>
        </w:rPr>
        <w:t>7</w:t>
      </w:r>
      <w:r w:rsidRPr="006D45E2">
        <w:rPr>
          <w:b/>
          <w:sz w:val="22"/>
          <w:szCs w:val="22"/>
        </w:rPr>
        <w:t xml:space="preserve"> to Version </w:t>
      </w:r>
      <w:r w:rsidR="002611EC">
        <w:rPr>
          <w:b/>
          <w:sz w:val="22"/>
          <w:szCs w:val="22"/>
        </w:rPr>
        <w:t>8</w:t>
      </w:r>
    </w:p>
    <w:p w14:paraId="277D7E55" w14:textId="401F69A0" w:rsidR="005938FE" w:rsidRPr="006D45E2" w:rsidRDefault="005938FE" w:rsidP="005938FE">
      <w:pPr>
        <w:jc w:val="center"/>
        <w:rPr>
          <w:b/>
          <w:sz w:val="22"/>
          <w:szCs w:val="22"/>
        </w:rPr>
      </w:pPr>
      <w:r w:rsidRPr="006D45E2">
        <w:rPr>
          <w:b/>
          <w:sz w:val="22"/>
          <w:szCs w:val="22"/>
        </w:rPr>
        <w:t>July</w:t>
      </w:r>
      <w:r w:rsidR="002A3447">
        <w:rPr>
          <w:b/>
          <w:sz w:val="22"/>
          <w:szCs w:val="22"/>
        </w:rPr>
        <w:t xml:space="preserve"> </w:t>
      </w:r>
      <w:r w:rsidR="002611EC">
        <w:rPr>
          <w:b/>
          <w:sz w:val="22"/>
          <w:szCs w:val="22"/>
        </w:rPr>
        <w:t>6</w:t>
      </w:r>
      <w:r w:rsidR="002A3447">
        <w:rPr>
          <w:b/>
          <w:sz w:val="22"/>
          <w:szCs w:val="22"/>
        </w:rPr>
        <w:t>,</w:t>
      </w:r>
      <w:r w:rsidRPr="006D45E2">
        <w:rPr>
          <w:b/>
          <w:sz w:val="22"/>
          <w:szCs w:val="22"/>
        </w:rPr>
        <w:t xml:space="preserve"> 202</w:t>
      </w:r>
      <w:r w:rsidR="002611EC">
        <w:rPr>
          <w:b/>
          <w:sz w:val="22"/>
          <w:szCs w:val="22"/>
        </w:rPr>
        <w:t>1</w:t>
      </w:r>
    </w:p>
    <w:p w14:paraId="14644F62" w14:textId="77777777" w:rsidR="005938FE" w:rsidRPr="006D45E2" w:rsidRDefault="005938FE" w:rsidP="005938FE">
      <w:pPr>
        <w:rPr>
          <w:sz w:val="22"/>
          <w:szCs w:val="22"/>
        </w:rPr>
      </w:pPr>
    </w:p>
    <w:p w14:paraId="67462789" w14:textId="3D95546D" w:rsidR="005938FE" w:rsidRPr="006D45E2" w:rsidRDefault="005938FE" w:rsidP="005938FE">
      <w:pPr>
        <w:rPr>
          <w:sz w:val="22"/>
          <w:szCs w:val="22"/>
        </w:rPr>
      </w:pPr>
      <w:r w:rsidRPr="006D45E2">
        <w:rPr>
          <w:sz w:val="22"/>
          <w:szCs w:val="22"/>
        </w:rPr>
        <w:t xml:space="preserve">Listed here are the major changes from Version </w:t>
      </w:r>
      <w:r w:rsidR="002611EC">
        <w:rPr>
          <w:sz w:val="22"/>
          <w:szCs w:val="22"/>
        </w:rPr>
        <w:t>7</w:t>
      </w:r>
      <w:r w:rsidRPr="006D45E2">
        <w:rPr>
          <w:sz w:val="22"/>
          <w:szCs w:val="22"/>
        </w:rPr>
        <w:t xml:space="preserve"> to Version </w:t>
      </w:r>
      <w:r w:rsidR="002611EC">
        <w:rPr>
          <w:sz w:val="22"/>
          <w:szCs w:val="22"/>
        </w:rPr>
        <w:t>8</w:t>
      </w:r>
      <w:r w:rsidRPr="006D45E2">
        <w:rPr>
          <w:sz w:val="22"/>
          <w:szCs w:val="22"/>
        </w:rPr>
        <w:t xml:space="preserve">.  </w:t>
      </w:r>
      <w:r w:rsidRPr="006D45E2">
        <w:rPr>
          <w:b/>
          <w:sz w:val="22"/>
          <w:szCs w:val="22"/>
        </w:rPr>
        <w:t>New excerpted opinions and other very significant changes are given in bold</w:t>
      </w:r>
      <w:r w:rsidRPr="006D45E2">
        <w:rPr>
          <w:sz w:val="22"/>
          <w:szCs w:val="22"/>
        </w:rPr>
        <w:t>. This is a highly schematic list. Its purpose is just to protect</w:t>
      </w:r>
      <w:r w:rsidR="002611EC">
        <w:rPr>
          <w:sz w:val="22"/>
          <w:szCs w:val="22"/>
        </w:rPr>
        <w:t xml:space="preserve"> </w:t>
      </w:r>
      <w:r w:rsidRPr="006D45E2">
        <w:rPr>
          <w:sz w:val="22"/>
          <w:szCs w:val="22"/>
        </w:rPr>
        <w:t>users</w:t>
      </w:r>
      <w:r w:rsidR="002611EC">
        <w:rPr>
          <w:sz w:val="22"/>
          <w:szCs w:val="22"/>
        </w:rPr>
        <w:t xml:space="preserve"> of Version 7</w:t>
      </w:r>
      <w:r w:rsidRPr="006D45E2">
        <w:rPr>
          <w:sz w:val="22"/>
          <w:szCs w:val="22"/>
        </w:rPr>
        <w:t xml:space="preserve"> from any major surprises when teaching </w:t>
      </w:r>
      <w:r w:rsidR="002611EC">
        <w:rPr>
          <w:sz w:val="22"/>
          <w:szCs w:val="22"/>
        </w:rPr>
        <w:t>Version 8</w:t>
      </w:r>
      <w:r w:rsidRPr="006D45E2">
        <w:rPr>
          <w:sz w:val="22"/>
          <w:szCs w:val="22"/>
        </w:rPr>
        <w:t>.</w:t>
      </w:r>
    </w:p>
    <w:p w14:paraId="096790CF" w14:textId="77777777" w:rsidR="005938FE" w:rsidRPr="006D45E2" w:rsidRDefault="005938FE" w:rsidP="005938FE">
      <w:pPr>
        <w:rPr>
          <w:sz w:val="22"/>
          <w:szCs w:val="22"/>
        </w:rPr>
      </w:pPr>
    </w:p>
    <w:p w14:paraId="652B0719" w14:textId="065448E5" w:rsidR="005938FE" w:rsidRPr="006D45E2" w:rsidRDefault="005938FE" w:rsidP="005938FE">
      <w:pPr>
        <w:rPr>
          <w:sz w:val="22"/>
          <w:szCs w:val="22"/>
        </w:rPr>
      </w:pPr>
      <w:r w:rsidRPr="006D45E2">
        <w:rPr>
          <w:sz w:val="22"/>
          <w:szCs w:val="22"/>
        </w:rPr>
        <w:t>Refer to the redline posted on the casebook website for less significant changes (correction of typos, grammar, etc.).</w:t>
      </w:r>
    </w:p>
    <w:p w14:paraId="6A7D3189" w14:textId="5FE24563" w:rsidR="005938FE" w:rsidRPr="006D45E2" w:rsidRDefault="005938FE" w:rsidP="005938FE">
      <w:pPr>
        <w:rPr>
          <w:sz w:val="22"/>
          <w:szCs w:val="22"/>
        </w:rPr>
      </w:pPr>
    </w:p>
    <w:p w14:paraId="068CC108" w14:textId="4DF9B757" w:rsidR="005938FE" w:rsidRPr="006D45E2" w:rsidRDefault="005938FE" w:rsidP="005938FE">
      <w:pPr>
        <w:rPr>
          <w:sz w:val="22"/>
          <w:szCs w:val="22"/>
        </w:rPr>
      </w:pPr>
      <w:r w:rsidRPr="006D45E2">
        <w:rPr>
          <w:sz w:val="22"/>
          <w:szCs w:val="22"/>
        </w:rPr>
        <w:t>Introduction</w:t>
      </w:r>
    </w:p>
    <w:p w14:paraId="7FFB72E5" w14:textId="2ACB28EB" w:rsidR="005938FE" w:rsidRPr="006D45E2" w:rsidRDefault="005938FE" w:rsidP="005938F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D45E2">
        <w:rPr>
          <w:sz w:val="22"/>
          <w:szCs w:val="22"/>
        </w:rPr>
        <w:t xml:space="preserve">Added note </w:t>
      </w:r>
      <w:r w:rsidR="002611EC">
        <w:rPr>
          <w:sz w:val="22"/>
          <w:szCs w:val="22"/>
        </w:rPr>
        <w:t>on the connotations of the term “consumer”</w:t>
      </w:r>
    </w:p>
    <w:p w14:paraId="2F0D7E89" w14:textId="7BDBB72B" w:rsidR="005938FE" w:rsidRPr="006D45E2" w:rsidRDefault="005938FE" w:rsidP="005938FE">
      <w:pPr>
        <w:rPr>
          <w:sz w:val="22"/>
          <w:szCs w:val="22"/>
        </w:rPr>
      </w:pPr>
    </w:p>
    <w:p w14:paraId="370EF06C" w14:textId="3BC3E454" w:rsidR="005938FE" w:rsidRPr="006D45E2" w:rsidRDefault="005938FE" w:rsidP="005938FE">
      <w:pPr>
        <w:rPr>
          <w:sz w:val="22"/>
          <w:szCs w:val="22"/>
        </w:rPr>
      </w:pPr>
      <w:r w:rsidRPr="006D45E2">
        <w:rPr>
          <w:sz w:val="22"/>
          <w:szCs w:val="22"/>
        </w:rPr>
        <w:t>Part I</w:t>
      </w:r>
    </w:p>
    <w:p w14:paraId="6FC72E5E" w14:textId="1F6AE0A3" w:rsidR="0086435F" w:rsidRDefault="0086435F" w:rsidP="002611EC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Added reference to the Trademark Modernization Act of 2020 in timeline of trademark reforms</w:t>
      </w:r>
    </w:p>
    <w:p w14:paraId="78503001" w14:textId="36FD3118" w:rsidR="00F03D2D" w:rsidRDefault="002611EC" w:rsidP="002611EC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Deleted discussion of special treatment of domain names </w:t>
      </w:r>
      <w:r w:rsidR="00B54C82">
        <w:rPr>
          <w:sz w:val="22"/>
          <w:szCs w:val="22"/>
        </w:rPr>
        <w:t>becuase</w:t>
      </w:r>
      <w:r>
        <w:rPr>
          <w:sz w:val="22"/>
          <w:szCs w:val="22"/>
        </w:rPr>
        <w:t xml:space="preserve"> </w:t>
      </w:r>
      <w:r w:rsidRPr="002611EC">
        <w:rPr>
          <w:i/>
          <w:iCs/>
          <w:sz w:val="22"/>
          <w:szCs w:val="22"/>
        </w:rPr>
        <w:t>Booking.com</w:t>
      </w:r>
      <w:r>
        <w:rPr>
          <w:sz w:val="22"/>
          <w:szCs w:val="22"/>
        </w:rPr>
        <w:t xml:space="preserve"> addresses the issue</w:t>
      </w:r>
    </w:p>
    <w:p w14:paraId="005FF96E" w14:textId="5B53A427" w:rsidR="002611EC" w:rsidRDefault="002611EC" w:rsidP="002611EC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Deleted </w:t>
      </w:r>
      <w:r w:rsidR="0086435F">
        <w:rPr>
          <w:sz w:val="22"/>
          <w:szCs w:val="22"/>
        </w:rPr>
        <w:t>note</w:t>
      </w:r>
      <w:r>
        <w:rPr>
          <w:sz w:val="22"/>
          <w:szCs w:val="22"/>
        </w:rPr>
        <w:t xml:space="preserve"> on “Information Slogans and Memes</w:t>
      </w:r>
      <w:r w:rsidR="0086435F">
        <w:rPr>
          <w:sz w:val="22"/>
          <w:szCs w:val="22"/>
        </w:rPr>
        <w:t>,</w:t>
      </w:r>
      <w:r>
        <w:rPr>
          <w:sz w:val="22"/>
          <w:szCs w:val="22"/>
        </w:rPr>
        <w:t xml:space="preserve">” </w:t>
      </w:r>
      <w:r w:rsidRPr="0086435F">
        <w:rPr>
          <w:b/>
          <w:bCs/>
          <w:sz w:val="22"/>
          <w:szCs w:val="22"/>
        </w:rPr>
        <w:t>established a new section I.A.</w:t>
      </w:r>
      <w:r w:rsidR="0086435F" w:rsidRPr="0086435F">
        <w:rPr>
          <w:b/>
          <w:bCs/>
          <w:sz w:val="22"/>
          <w:szCs w:val="22"/>
        </w:rPr>
        <w:t>1.d Failure to Function as a Mark</w:t>
      </w:r>
      <w:r w:rsidR="0086435F">
        <w:rPr>
          <w:b/>
          <w:bCs/>
          <w:sz w:val="22"/>
          <w:szCs w:val="22"/>
        </w:rPr>
        <w:t>, and</w:t>
      </w:r>
      <w:r w:rsidR="0086435F" w:rsidRPr="0086435F">
        <w:rPr>
          <w:b/>
          <w:bCs/>
          <w:sz w:val="22"/>
          <w:szCs w:val="22"/>
        </w:rPr>
        <w:t xml:space="preserve"> includ</w:t>
      </w:r>
      <w:r w:rsidR="0086435F">
        <w:rPr>
          <w:b/>
          <w:bCs/>
          <w:sz w:val="22"/>
          <w:szCs w:val="22"/>
        </w:rPr>
        <w:t>ed in that section</w:t>
      </w:r>
      <w:r w:rsidR="0086435F" w:rsidRPr="0086435F">
        <w:rPr>
          <w:b/>
          <w:bCs/>
          <w:sz w:val="22"/>
          <w:szCs w:val="22"/>
        </w:rPr>
        <w:t xml:space="preserve"> the TTAB opinion in </w:t>
      </w:r>
      <w:r w:rsidR="0086435F" w:rsidRPr="0086435F">
        <w:rPr>
          <w:b/>
          <w:bCs/>
          <w:i/>
          <w:iCs/>
          <w:sz w:val="22"/>
          <w:szCs w:val="22"/>
        </w:rPr>
        <w:t>In re Lee Greenwood</w:t>
      </w:r>
    </w:p>
    <w:p w14:paraId="34AC7805" w14:textId="11E7E1F5" w:rsidR="0086435F" w:rsidRDefault="0086435F" w:rsidP="002611EC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86435F">
        <w:rPr>
          <w:b/>
          <w:bCs/>
          <w:sz w:val="22"/>
          <w:szCs w:val="22"/>
        </w:rPr>
        <w:t>Replaced</w:t>
      </w:r>
      <w:r>
        <w:rPr>
          <w:b/>
          <w:bCs/>
          <w:sz w:val="22"/>
          <w:szCs w:val="22"/>
        </w:rPr>
        <w:t xml:space="preserve"> the</w:t>
      </w:r>
      <w:r w:rsidRPr="0086435F">
        <w:rPr>
          <w:b/>
          <w:bCs/>
          <w:sz w:val="22"/>
          <w:szCs w:val="22"/>
        </w:rPr>
        <w:t xml:space="preserve"> TTAB opinion in the Pretzel Crisps case with the W.D.N.C.’s June 7, 2021 opinion</w:t>
      </w:r>
      <w:r>
        <w:rPr>
          <w:b/>
          <w:bCs/>
          <w:sz w:val="22"/>
          <w:szCs w:val="22"/>
        </w:rPr>
        <w:t>; added note addressing whether secondary meaning evidence in Pretzel Crisps can function as evidence of non-genericism</w:t>
      </w:r>
    </w:p>
    <w:p w14:paraId="07D4283C" w14:textId="0FCF1EBE" w:rsidR="0086435F" w:rsidRDefault="0086435F" w:rsidP="002611EC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Added additional paragraphs from </w:t>
      </w:r>
      <w:r w:rsidRPr="0086435F">
        <w:rPr>
          <w:b/>
          <w:bCs/>
          <w:i/>
          <w:iCs/>
          <w:sz w:val="22"/>
          <w:szCs w:val="22"/>
        </w:rPr>
        <w:t>Louboutin</w:t>
      </w:r>
      <w:r>
        <w:rPr>
          <w:b/>
          <w:bCs/>
          <w:sz w:val="22"/>
          <w:szCs w:val="22"/>
        </w:rPr>
        <w:t xml:space="preserve"> </w:t>
      </w:r>
    </w:p>
    <w:p w14:paraId="17DB0949" w14:textId="43A942FD" w:rsidR="0086435F" w:rsidRPr="0086435F" w:rsidRDefault="0086435F" w:rsidP="002611EC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Deleted </w:t>
      </w:r>
      <w:r w:rsidRPr="0086435F">
        <w:rPr>
          <w:b/>
          <w:bCs/>
          <w:i/>
          <w:iCs/>
          <w:sz w:val="22"/>
          <w:szCs w:val="22"/>
        </w:rPr>
        <w:t>Levy v adidas AG</w:t>
      </w:r>
    </w:p>
    <w:p w14:paraId="4F7BCAC9" w14:textId="145F0E89" w:rsidR="0086435F" w:rsidRPr="0086435F" w:rsidRDefault="0086435F" w:rsidP="002611EC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Added estimates of costs of trademark registration</w:t>
      </w:r>
    </w:p>
    <w:p w14:paraId="1DBD5CB6" w14:textId="62389C0A" w:rsidR="0086435F" w:rsidRPr="0086435F" w:rsidRDefault="0086435F" w:rsidP="002611EC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Added brief reference to the Trademark Modernization Act’s establishment of </w:t>
      </w:r>
      <w:r w:rsidRPr="0086435F">
        <w:rPr>
          <w:i/>
          <w:iCs/>
          <w:sz w:val="22"/>
          <w:szCs w:val="22"/>
        </w:rPr>
        <w:t>ex parte</w:t>
      </w:r>
      <w:r>
        <w:rPr>
          <w:sz w:val="22"/>
          <w:szCs w:val="22"/>
        </w:rPr>
        <w:t xml:space="preserve"> expungement and reexamination</w:t>
      </w:r>
    </w:p>
    <w:p w14:paraId="30C708C5" w14:textId="5D41B674" w:rsidR="0086435F" w:rsidRPr="0086435F" w:rsidRDefault="0086435F" w:rsidP="002611EC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Updated status of </w:t>
      </w:r>
      <w:r w:rsidRPr="00640124">
        <w:rPr>
          <w:i/>
          <w:iCs/>
          <w:sz w:val="22"/>
          <w:szCs w:val="22"/>
        </w:rPr>
        <w:t>Belmora</w:t>
      </w:r>
      <w:r>
        <w:rPr>
          <w:sz w:val="22"/>
          <w:szCs w:val="22"/>
        </w:rPr>
        <w:t xml:space="preserve"> litigation</w:t>
      </w:r>
    </w:p>
    <w:p w14:paraId="694F9068" w14:textId="77777777" w:rsidR="002611EC" w:rsidRPr="002611EC" w:rsidRDefault="002611EC" w:rsidP="002611EC">
      <w:pPr>
        <w:rPr>
          <w:sz w:val="22"/>
          <w:szCs w:val="22"/>
        </w:rPr>
      </w:pPr>
    </w:p>
    <w:p w14:paraId="0D1E7B25" w14:textId="358B583C" w:rsidR="00F03D2D" w:rsidRPr="006D45E2" w:rsidRDefault="00F03D2D" w:rsidP="00F03D2D">
      <w:pPr>
        <w:rPr>
          <w:sz w:val="22"/>
          <w:szCs w:val="22"/>
        </w:rPr>
      </w:pPr>
      <w:r w:rsidRPr="006D45E2">
        <w:rPr>
          <w:sz w:val="22"/>
          <w:szCs w:val="22"/>
        </w:rPr>
        <w:t>Part II</w:t>
      </w:r>
    </w:p>
    <w:p w14:paraId="708C5FBB" w14:textId="29EBCE17" w:rsidR="00F03D2D" w:rsidRDefault="00F03D2D" w:rsidP="0086435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D45E2">
        <w:rPr>
          <w:sz w:val="22"/>
          <w:szCs w:val="22"/>
        </w:rPr>
        <w:t>Deleted</w:t>
      </w:r>
      <w:r w:rsidR="00A0122F">
        <w:rPr>
          <w:sz w:val="22"/>
          <w:szCs w:val="22"/>
        </w:rPr>
        <w:t xml:space="preserve"> from section II.A</w:t>
      </w:r>
      <w:r w:rsidRPr="006D45E2">
        <w:rPr>
          <w:sz w:val="22"/>
          <w:szCs w:val="22"/>
        </w:rPr>
        <w:t xml:space="preserve"> </w:t>
      </w:r>
      <w:r w:rsidR="00A0122F">
        <w:rPr>
          <w:sz w:val="22"/>
          <w:szCs w:val="22"/>
        </w:rPr>
        <w:t>the note on the commercial use requirement as applied to dilution causes of action and moved that discussion to section II.C on dilution</w:t>
      </w:r>
    </w:p>
    <w:p w14:paraId="564E16BB" w14:textId="71FBA004" w:rsidR="00A0122F" w:rsidRDefault="00A0122F" w:rsidP="0086435F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Added bullet points listing out the </w:t>
      </w:r>
      <w:r w:rsidRPr="00A0122F">
        <w:rPr>
          <w:i/>
          <w:iCs/>
          <w:sz w:val="22"/>
          <w:szCs w:val="22"/>
        </w:rPr>
        <w:t>Polaroid</w:t>
      </w:r>
      <w:r>
        <w:rPr>
          <w:sz w:val="22"/>
          <w:szCs w:val="22"/>
        </w:rPr>
        <w:t xml:space="preserve">, </w:t>
      </w:r>
      <w:r w:rsidRPr="00A0122F">
        <w:rPr>
          <w:i/>
          <w:iCs/>
          <w:sz w:val="22"/>
          <w:szCs w:val="22"/>
        </w:rPr>
        <w:t>Helene Curtis</w:t>
      </w:r>
      <w:r>
        <w:rPr>
          <w:sz w:val="22"/>
          <w:szCs w:val="22"/>
        </w:rPr>
        <w:t xml:space="preserve">, and </w:t>
      </w:r>
      <w:r w:rsidRPr="00A0122F">
        <w:rPr>
          <w:i/>
          <w:iCs/>
          <w:sz w:val="22"/>
          <w:szCs w:val="22"/>
        </w:rPr>
        <w:t>Sleekcraft</w:t>
      </w:r>
      <w:r>
        <w:rPr>
          <w:sz w:val="22"/>
          <w:szCs w:val="22"/>
        </w:rPr>
        <w:t xml:space="preserve"> factors</w:t>
      </w:r>
    </w:p>
    <w:p w14:paraId="5D36BFB9" w14:textId="7A6F4214" w:rsidR="00A0122F" w:rsidRPr="00640124" w:rsidRDefault="00A0122F" w:rsidP="0086435F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D727E2">
        <w:rPr>
          <w:b/>
          <w:bCs/>
          <w:sz w:val="22"/>
          <w:szCs w:val="22"/>
        </w:rPr>
        <w:t xml:space="preserve">In initial interest confusion section, replaced </w:t>
      </w:r>
      <w:r w:rsidRPr="00D727E2">
        <w:rPr>
          <w:b/>
          <w:bCs/>
          <w:i/>
          <w:iCs/>
          <w:sz w:val="22"/>
          <w:szCs w:val="22"/>
        </w:rPr>
        <w:t>Multi Time Machine</w:t>
      </w:r>
      <w:r w:rsidRPr="00D727E2">
        <w:rPr>
          <w:b/>
          <w:bCs/>
          <w:sz w:val="22"/>
          <w:szCs w:val="22"/>
        </w:rPr>
        <w:t xml:space="preserve"> with </w:t>
      </w:r>
      <w:r w:rsidRPr="00D727E2">
        <w:rPr>
          <w:b/>
          <w:bCs/>
          <w:i/>
          <w:iCs/>
          <w:sz w:val="22"/>
          <w:szCs w:val="22"/>
        </w:rPr>
        <w:t>Select Comfort Corporation v. Baxter</w:t>
      </w:r>
    </w:p>
    <w:p w14:paraId="1946E025" w14:textId="3F0F7D43" w:rsidR="00640124" w:rsidRPr="00640124" w:rsidRDefault="00640124" w:rsidP="0086435F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At the end of </w:t>
      </w:r>
      <w:r w:rsidR="00B54C82" w:rsidRPr="00B54C82">
        <w:rPr>
          <w:i/>
          <w:iCs/>
          <w:sz w:val="22"/>
          <w:szCs w:val="22"/>
        </w:rPr>
        <w:t>Uber Promotions</w:t>
      </w:r>
      <w:r>
        <w:rPr>
          <w:sz w:val="22"/>
          <w:szCs w:val="22"/>
        </w:rPr>
        <w:t>, added a brief discussion of the injunction issued by the court</w:t>
      </w:r>
    </w:p>
    <w:p w14:paraId="5D021C86" w14:textId="1AB71834" w:rsidR="00640124" w:rsidRPr="00640124" w:rsidRDefault="00640124" w:rsidP="0086435F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Added paragraph on the difference between trademark confusion and trademark dilution</w:t>
      </w:r>
    </w:p>
    <w:p w14:paraId="7D283384" w14:textId="71C1DD1F" w:rsidR="00640124" w:rsidRPr="00640124" w:rsidRDefault="00640124" w:rsidP="0086435F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Deleted note after </w:t>
      </w:r>
      <w:r w:rsidRPr="00B54C82">
        <w:rPr>
          <w:i/>
          <w:iCs/>
          <w:sz w:val="22"/>
          <w:szCs w:val="22"/>
        </w:rPr>
        <w:t>eBay v. Tiffany</w:t>
      </w:r>
      <w:r>
        <w:rPr>
          <w:sz w:val="22"/>
          <w:szCs w:val="22"/>
        </w:rPr>
        <w:t xml:space="preserve"> discussion Amazon’s notice and takedown policies, which have since changed</w:t>
      </w:r>
    </w:p>
    <w:p w14:paraId="354CE446" w14:textId="487B4241" w:rsidR="00640124" w:rsidRPr="00D727E2" w:rsidRDefault="00640124" w:rsidP="0086435F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Updated note on </w:t>
      </w:r>
      <w:r w:rsidRPr="00640124">
        <w:rPr>
          <w:i/>
          <w:iCs/>
          <w:sz w:val="22"/>
          <w:szCs w:val="22"/>
        </w:rPr>
        <w:t>Omega SA v. 375 Canal, LLC</w:t>
      </w:r>
    </w:p>
    <w:p w14:paraId="4A6444BA" w14:textId="77777777" w:rsidR="00D727E2" w:rsidRDefault="00D727E2" w:rsidP="00F03D2D">
      <w:pPr>
        <w:rPr>
          <w:sz w:val="22"/>
          <w:szCs w:val="22"/>
        </w:rPr>
      </w:pPr>
    </w:p>
    <w:p w14:paraId="31423030" w14:textId="77777777" w:rsidR="00D727E2" w:rsidRDefault="00D727E2" w:rsidP="00F03D2D">
      <w:pPr>
        <w:rPr>
          <w:sz w:val="22"/>
          <w:szCs w:val="22"/>
        </w:rPr>
      </w:pPr>
    </w:p>
    <w:p w14:paraId="40C03A23" w14:textId="77777777" w:rsidR="00D727E2" w:rsidRDefault="00D727E2" w:rsidP="00F03D2D">
      <w:pPr>
        <w:rPr>
          <w:sz w:val="22"/>
          <w:szCs w:val="22"/>
        </w:rPr>
      </w:pPr>
    </w:p>
    <w:p w14:paraId="587A16BF" w14:textId="533F5C2E" w:rsidR="00F03D2D" w:rsidRPr="006D45E2" w:rsidRDefault="00F03D2D" w:rsidP="00F03D2D">
      <w:pPr>
        <w:rPr>
          <w:sz w:val="22"/>
          <w:szCs w:val="22"/>
        </w:rPr>
      </w:pPr>
      <w:r w:rsidRPr="006D45E2">
        <w:rPr>
          <w:sz w:val="22"/>
          <w:szCs w:val="22"/>
        </w:rPr>
        <w:t>Part III</w:t>
      </w:r>
    </w:p>
    <w:p w14:paraId="35E72768" w14:textId="54A566B5" w:rsidR="00640124" w:rsidRDefault="00640124" w:rsidP="0064012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40124">
        <w:rPr>
          <w:sz w:val="22"/>
          <w:szCs w:val="22"/>
        </w:rPr>
        <w:t>Added introductory paragraph distinguishing between affirmative defenses and limitations</w:t>
      </w:r>
      <w:r w:rsidR="00F03D2D" w:rsidRPr="00640124">
        <w:rPr>
          <w:sz w:val="22"/>
          <w:szCs w:val="22"/>
        </w:rPr>
        <w:t xml:space="preserve"> </w:t>
      </w:r>
    </w:p>
    <w:p w14:paraId="6862063E" w14:textId="40FB4B4A" w:rsidR="00600FF6" w:rsidRPr="00640124" w:rsidRDefault="00600FF6" w:rsidP="00640124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Deleted Penn Law School controversy</w:t>
      </w:r>
    </w:p>
    <w:p w14:paraId="41F78576" w14:textId="440A2B71" w:rsidR="009C2888" w:rsidRPr="00640124" w:rsidRDefault="00640124" w:rsidP="00F03D2D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Deleted note on difference between intent to abandon and intent not to resume use</w:t>
      </w:r>
    </w:p>
    <w:p w14:paraId="62F3EB14" w14:textId="77777777" w:rsidR="009C2888" w:rsidRPr="006D45E2" w:rsidRDefault="009C2888" w:rsidP="009C2888">
      <w:pPr>
        <w:pStyle w:val="ListParagraph"/>
        <w:rPr>
          <w:sz w:val="22"/>
          <w:szCs w:val="22"/>
        </w:rPr>
      </w:pPr>
    </w:p>
    <w:p w14:paraId="6246F1B8" w14:textId="6248B956" w:rsidR="009C2888" w:rsidRPr="006D45E2" w:rsidRDefault="009C2888" w:rsidP="009C2888">
      <w:pPr>
        <w:rPr>
          <w:sz w:val="22"/>
          <w:szCs w:val="22"/>
        </w:rPr>
      </w:pPr>
      <w:r w:rsidRPr="006D45E2">
        <w:rPr>
          <w:sz w:val="22"/>
          <w:szCs w:val="22"/>
        </w:rPr>
        <w:t>Part V</w:t>
      </w:r>
    </w:p>
    <w:p w14:paraId="45E8C4A0" w14:textId="16A901A4" w:rsidR="009C2888" w:rsidRPr="00640124" w:rsidRDefault="00640124" w:rsidP="009C2888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40124">
        <w:rPr>
          <w:sz w:val="22"/>
          <w:szCs w:val="22"/>
        </w:rPr>
        <w:t>Updated Oklahoma on the right of publicity map</w:t>
      </w:r>
    </w:p>
    <w:p w14:paraId="6CB0A8C6" w14:textId="6CB1890D" w:rsidR="00640124" w:rsidRPr="00640124" w:rsidRDefault="00640124" w:rsidP="009C2888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40124">
        <w:rPr>
          <w:sz w:val="22"/>
          <w:szCs w:val="22"/>
        </w:rPr>
        <w:t>Added brief reference to New York’s revised right of publicity law</w:t>
      </w:r>
    </w:p>
    <w:p w14:paraId="71E3B0E1" w14:textId="29FC5A88" w:rsidR="00640124" w:rsidRPr="00640124" w:rsidRDefault="00640124" w:rsidP="009C2888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40124">
        <w:rPr>
          <w:sz w:val="22"/>
          <w:szCs w:val="22"/>
        </w:rPr>
        <w:t xml:space="preserve">Added brief note on what happened on remand in </w:t>
      </w:r>
      <w:r w:rsidRPr="00640124">
        <w:rPr>
          <w:i/>
          <w:iCs/>
          <w:sz w:val="22"/>
          <w:szCs w:val="22"/>
        </w:rPr>
        <w:t>White v. Samsung</w:t>
      </w:r>
    </w:p>
    <w:p w14:paraId="5129DCC3" w14:textId="5994416B" w:rsidR="00640124" w:rsidRPr="00640124" w:rsidRDefault="00640124" w:rsidP="00640124">
      <w:pPr>
        <w:rPr>
          <w:sz w:val="22"/>
          <w:szCs w:val="22"/>
        </w:rPr>
      </w:pPr>
    </w:p>
    <w:p w14:paraId="279E797E" w14:textId="3EF82F2E" w:rsidR="00640124" w:rsidRPr="00B54C82" w:rsidRDefault="00640124" w:rsidP="00640124">
      <w:pPr>
        <w:rPr>
          <w:sz w:val="22"/>
          <w:szCs w:val="22"/>
        </w:rPr>
      </w:pPr>
      <w:r w:rsidRPr="00B54C82">
        <w:rPr>
          <w:sz w:val="22"/>
          <w:szCs w:val="22"/>
        </w:rPr>
        <w:t>PART VI</w:t>
      </w:r>
    </w:p>
    <w:p w14:paraId="2C6476DC" w14:textId="51E87FA3" w:rsidR="009C2888" w:rsidRPr="00B54C82" w:rsidRDefault="00640124" w:rsidP="00640124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B54C82">
        <w:rPr>
          <w:b/>
          <w:bCs/>
          <w:sz w:val="22"/>
          <w:szCs w:val="22"/>
        </w:rPr>
        <w:t xml:space="preserve">Deleted </w:t>
      </w:r>
      <w:r w:rsidR="00B54C82" w:rsidRPr="00B54C82">
        <w:rPr>
          <w:b/>
          <w:bCs/>
          <w:i/>
          <w:iCs/>
          <w:sz w:val="22"/>
          <w:szCs w:val="22"/>
        </w:rPr>
        <w:t>Herb Reed Enterprises</w:t>
      </w:r>
      <w:r w:rsidR="00B54C82" w:rsidRPr="00B54C82">
        <w:rPr>
          <w:b/>
          <w:bCs/>
          <w:sz w:val="22"/>
          <w:szCs w:val="22"/>
        </w:rPr>
        <w:t xml:space="preserve"> and </w:t>
      </w:r>
      <w:r w:rsidR="00B54C82" w:rsidRPr="00B54C82">
        <w:rPr>
          <w:b/>
          <w:bCs/>
          <w:i/>
          <w:iCs/>
          <w:sz w:val="22"/>
          <w:szCs w:val="22"/>
        </w:rPr>
        <w:t>adidas v. Skechers</w:t>
      </w:r>
      <w:r w:rsidR="00B54C82" w:rsidRPr="00B54C82">
        <w:rPr>
          <w:b/>
          <w:bCs/>
          <w:sz w:val="22"/>
          <w:szCs w:val="22"/>
        </w:rPr>
        <w:t xml:space="preserve"> and replaced with reference to revised section 34 of the Lanham Act</w:t>
      </w:r>
    </w:p>
    <w:p w14:paraId="5F758015" w14:textId="3C99BBA6" w:rsidR="00B54C82" w:rsidRPr="00640124" w:rsidRDefault="00B54C82" w:rsidP="00640124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Added brief note on what happened on remand in </w:t>
      </w:r>
      <w:r w:rsidRPr="00B54C82">
        <w:rPr>
          <w:i/>
          <w:iCs/>
          <w:sz w:val="22"/>
          <w:szCs w:val="22"/>
        </w:rPr>
        <w:t>Romag</w:t>
      </w:r>
    </w:p>
    <w:sectPr w:rsidR="00B54C82" w:rsidRPr="0064012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3EDD8" w14:textId="77777777" w:rsidR="00B44CE6" w:rsidRDefault="00B44CE6" w:rsidP="00B54C82">
      <w:pPr>
        <w:spacing w:after="0"/>
      </w:pPr>
      <w:r>
        <w:separator/>
      </w:r>
    </w:p>
  </w:endnote>
  <w:endnote w:type="continuationSeparator" w:id="0">
    <w:p w14:paraId="2656AA87" w14:textId="77777777" w:rsidR="00B44CE6" w:rsidRDefault="00B44CE6" w:rsidP="00B54C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033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794813" w14:textId="6BD56F3E" w:rsidR="00B54C82" w:rsidRDefault="00B54C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8FF2D9" w14:textId="77777777" w:rsidR="00B54C82" w:rsidRDefault="00B54C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4B43E" w14:textId="77777777" w:rsidR="00B44CE6" w:rsidRDefault="00B44CE6" w:rsidP="00B54C82">
      <w:pPr>
        <w:spacing w:after="0"/>
      </w:pPr>
      <w:r>
        <w:separator/>
      </w:r>
    </w:p>
  </w:footnote>
  <w:footnote w:type="continuationSeparator" w:id="0">
    <w:p w14:paraId="4C7BFEFB" w14:textId="77777777" w:rsidR="00B44CE6" w:rsidRDefault="00B44CE6" w:rsidP="00B54C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C1CAE"/>
    <w:multiLevelType w:val="hybridMultilevel"/>
    <w:tmpl w:val="029A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71F89"/>
    <w:multiLevelType w:val="hybridMultilevel"/>
    <w:tmpl w:val="14AC5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17D36"/>
    <w:multiLevelType w:val="hybridMultilevel"/>
    <w:tmpl w:val="9FE48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6189F"/>
    <w:multiLevelType w:val="hybridMultilevel"/>
    <w:tmpl w:val="6CAA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8769A"/>
    <w:multiLevelType w:val="hybridMultilevel"/>
    <w:tmpl w:val="BEE88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E3FCD"/>
    <w:multiLevelType w:val="hybridMultilevel"/>
    <w:tmpl w:val="D570D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FE"/>
    <w:rsid w:val="000E4C27"/>
    <w:rsid w:val="002611EC"/>
    <w:rsid w:val="002A3447"/>
    <w:rsid w:val="005938FE"/>
    <w:rsid w:val="00600FF6"/>
    <w:rsid w:val="00640124"/>
    <w:rsid w:val="006D45E2"/>
    <w:rsid w:val="0086435F"/>
    <w:rsid w:val="00920FFB"/>
    <w:rsid w:val="009C2888"/>
    <w:rsid w:val="00A0122F"/>
    <w:rsid w:val="00B44CE6"/>
    <w:rsid w:val="00B54C82"/>
    <w:rsid w:val="00C2795E"/>
    <w:rsid w:val="00D20C9C"/>
    <w:rsid w:val="00D727E2"/>
    <w:rsid w:val="00F0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9B13"/>
  <w15:chartTrackingRefBased/>
  <w15:docId w15:val="{B2352F53-7C12-401B-B618-522B6894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theme="minorHAnsi"/>
        <w:sz w:val="22"/>
        <w:szCs w:val="22"/>
        <w:lang w:val="en-US" w:eastAsia="en-US" w:bidi="ar-SA"/>
      </w:rPr>
    </w:rPrDefault>
    <w:pPrDefault>
      <w:pPr>
        <w:spacing w:line="259" w:lineRule="auto"/>
        <w:ind w:firstLine="43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8FE"/>
    <w:pPr>
      <w:spacing w:after="40" w:line="240" w:lineRule="auto"/>
      <w:ind w:firstLine="0"/>
    </w:pPr>
    <w:rPr>
      <w:rFonts w:eastAsia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8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C8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4C82"/>
    <w:rPr>
      <w:rFonts w:eastAsia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54C8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4C82"/>
    <w:rPr>
      <w:rFonts w:eastAsia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 Beebe</dc:creator>
  <cp:keywords/>
  <dc:description/>
  <cp:lastModifiedBy>Barton Beebe</cp:lastModifiedBy>
  <cp:revision>4</cp:revision>
  <dcterms:created xsi:type="dcterms:W3CDTF">2021-07-05T19:08:00Z</dcterms:created>
  <dcterms:modified xsi:type="dcterms:W3CDTF">2021-07-08T21:33:00Z</dcterms:modified>
</cp:coreProperties>
</file>