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B5B" w:rsidRDefault="006A2B5B" w:rsidP="006A2B5B"/>
    <w:p w:rsidR="006A2B5B" w:rsidRDefault="006A2B5B" w:rsidP="006A2B5B">
      <w:pPr>
        <w:pStyle w:val="Centered"/>
        <w:rPr>
          <w:noProof/>
        </w:rPr>
      </w:pPr>
      <w:r w:rsidRPr="0025720E">
        <w:rPr>
          <w:noProof/>
        </w:rPr>
        <w:drawing>
          <wp:inline distT="0" distB="0" distL="0" distR="0">
            <wp:extent cx="2578608" cy="3657600"/>
            <wp:effectExtent l="0" t="635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578608" cy="3657600"/>
                    </a:xfrm>
                    <a:prstGeom prst="rect">
                      <a:avLst/>
                    </a:prstGeom>
                    <a:noFill/>
                    <a:ln>
                      <a:noFill/>
                    </a:ln>
                  </pic:spPr>
                </pic:pic>
              </a:graphicData>
            </a:graphic>
          </wp:inline>
        </w:drawing>
      </w:r>
    </w:p>
    <w:p w:rsidR="006A2B5B" w:rsidRDefault="006A2B5B" w:rsidP="006A2B5B">
      <w:pPr>
        <w:pStyle w:val="Centered"/>
      </w:pPr>
      <w:r w:rsidRPr="0025720E">
        <w:rPr>
          <w:noProof/>
        </w:rPr>
        <w:drawing>
          <wp:inline distT="0" distB="0" distL="0" distR="0">
            <wp:extent cx="2543512" cy="3616412"/>
            <wp:effectExtent l="0" t="3175" r="6350" b="635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554600" cy="3632178"/>
                    </a:xfrm>
                    <a:prstGeom prst="rect">
                      <a:avLst/>
                    </a:prstGeom>
                    <a:noFill/>
                    <a:ln>
                      <a:noFill/>
                    </a:ln>
                  </pic:spPr>
                </pic:pic>
              </a:graphicData>
            </a:graphic>
          </wp:inline>
        </w:drawing>
      </w:r>
    </w:p>
    <w:p w:rsidR="006A2B5B" w:rsidRPr="006A2B5B" w:rsidRDefault="006A2B5B" w:rsidP="006A2B5B">
      <w:pPr>
        <w:pStyle w:val="Centered"/>
      </w:pPr>
      <w:r w:rsidRPr="006A2B5B">
        <w:t>{An example of defendant’s greeting cards}</w:t>
      </w:r>
    </w:p>
    <w:p w:rsidR="006A2B5B" w:rsidRDefault="006A2B5B" w:rsidP="006A2B5B">
      <w:pPr>
        <w:pStyle w:val="Centered"/>
      </w:pPr>
    </w:p>
    <w:p w:rsidR="00262080" w:rsidRPr="00262080" w:rsidRDefault="00262080" w:rsidP="00262080">
      <w:pPr>
        <w:pStyle w:val="Heading7"/>
        <w:spacing w:before="0"/>
        <w:rPr>
          <w:sz w:val="20"/>
        </w:rPr>
      </w:pPr>
      <w:r w:rsidRPr="00262080">
        <w:rPr>
          <w:sz w:val="20"/>
        </w:rPr>
        <w:t>Gordon v. Drape Creative, Inc.</w:t>
      </w:r>
    </w:p>
    <w:p w:rsidR="00262080" w:rsidRPr="00262080" w:rsidRDefault="00A45CF5" w:rsidP="00262080">
      <w:pPr>
        <w:pStyle w:val="OpinionCitation"/>
        <w:spacing w:before="0" w:after="0"/>
        <w:rPr>
          <w:sz w:val="20"/>
        </w:rPr>
      </w:pPr>
      <w:r>
        <w:rPr>
          <w:sz w:val="20"/>
        </w:rPr>
        <w:t>909</w:t>
      </w:r>
      <w:r w:rsidR="00262080" w:rsidRPr="00262080">
        <w:rPr>
          <w:sz w:val="20"/>
        </w:rPr>
        <w:t xml:space="preserve"> F.3d </w:t>
      </w:r>
      <w:r>
        <w:rPr>
          <w:sz w:val="20"/>
        </w:rPr>
        <w:t>257</w:t>
      </w:r>
      <w:r w:rsidR="00262080" w:rsidRPr="00262080">
        <w:rPr>
          <w:sz w:val="20"/>
        </w:rPr>
        <w:t xml:space="preserve"> (</w:t>
      </w:r>
      <w:r>
        <w:rPr>
          <w:sz w:val="20"/>
        </w:rPr>
        <w:t xml:space="preserve">9th Cir. Nov. 20, </w:t>
      </w:r>
      <w:r w:rsidR="00262080" w:rsidRPr="00262080">
        <w:rPr>
          <w:sz w:val="20"/>
        </w:rPr>
        <w:t xml:space="preserve">2018), </w:t>
      </w:r>
      <w:r w:rsidRPr="00A45CF5">
        <w:rPr>
          <w:i/>
          <w:sz w:val="20"/>
        </w:rPr>
        <w:t>superseding</w:t>
      </w:r>
      <w:r>
        <w:rPr>
          <w:sz w:val="20"/>
        </w:rPr>
        <w:t xml:space="preserve"> 897 F.3d 1185 (9th Cir. July 30, 2018) </w:t>
      </w:r>
    </w:p>
    <w:p w:rsidR="00262080" w:rsidRDefault="00262080" w:rsidP="00743715">
      <w:pPr>
        <w:rPr>
          <w:sz w:val="20"/>
        </w:rPr>
      </w:pPr>
    </w:p>
    <w:p w:rsidR="00262080" w:rsidRPr="00262080" w:rsidRDefault="00262080" w:rsidP="00262080">
      <w:pPr>
        <w:pStyle w:val="NormalNoIndent"/>
      </w:pPr>
      <w:proofErr w:type="spellStart"/>
      <w:r w:rsidRPr="00262080">
        <w:t>BYBEE</w:t>
      </w:r>
      <w:proofErr w:type="spellEnd"/>
      <w:r w:rsidRPr="00262080">
        <w:t>, Circuit Judge</w:t>
      </w:r>
    </w:p>
    <w:p w:rsidR="00264AEF" w:rsidRPr="00264AEF" w:rsidRDefault="006A2B5B" w:rsidP="00264AEF">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\r 1 \* MERGEFORMAT \* MERGEFORMAT </w:instrText>
      </w:r>
      <w:r w:rsidRPr="007E2B51">
        <w:rPr>
          <w:color w:val="808080"/>
          <w:sz w:val="20"/>
        </w:rPr>
        <w:fldChar w:fldCharType="separate"/>
      </w:r>
      <w:r w:rsidR="00C93AC7">
        <w:rPr>
          <w:noProof/>
          <w:color w:val="808080"/>
          <w:sz w:val="20"/>
        </w:rPr>
        <w:t>1</w:t>
      </w:r>
      <w:r w:rsidRPr="007E2B51">
        <w:rPr>
          <w:color w:val="808080"/>
          <w:sz w:val="20"/>
        </w:rPr>
        <w:fldChar w:fldCharType="end"/>
      </w:r>
      <w:r w:rsidRPr="007E2B51">
        <w:rPr>
          <w:color w:val="808080"/>
          <w:sz w:val="20"/>
        </w:rPr>
        <w:t>]</w:t>
      </w:r>
      <w:r w:rsidRPr="007E2B51">
        <w:rPr>
          <w:sz w:val="20"/>
        </w:rPr>
        <w:t xml:space="preserve"> </w:t>
      </w:r>
      <w:r w:rsidR="00264AEF" w:rsidRPr="00264AEF">
        <w:rPr>
          <w:sz w:val="20"/>
        </w:rPr>
        <w:t>Plaintiff Christopher Gordon is the creator of a popular YouTube video known for its catchphrases “Honey Badger Don’t Care” and “Honey Badger Don’t Give a S---.” Gordon has trademarked the former phrase for various classes of goods, including greeting cards. Defendants Drape Creative, Inc. (“DCI”), and Papyrus-Recycled Greetings, Inc. (“</w:t>
      </w:r>
      <w:proofErr w:type="spellStart"/>
      <w:r w:rsidR="00264AEF" w:rsidRPr="00264AEF">
        <w:rPr>
          <w:sz w:val="20"/>
        </w:rPr>
        <w:t>PRG</w:t>
      </w:r>
      <w:proofErr w:type="spellEnd"/>
      <w:r w:rsidR="00264AEF" w:rsidRPr="00264AEF">
        <w:rPr>
          <w:sz w:val="20"/>
        </w:rPr>
        <w:t xml:space="preserve">”), designed and produced greeting cards using both phrases with slight variations. Gordon brought this suit for trademark infringement, and the district court granted summary judgment for defendants, holding that Gordon’s claims were barred by the test set forth in </w:t>
      </w:r>
      <w:r w:rsidR="00264AEF" w:rsidRPr="00264AEF">
        <w:rPr>
          <w:i/>
          <w:iCs/>
          <w:sz w:val="20"/>
        </w:rPr>
        <w:t xml:space="preserve">Rogers v. </w:t>
      </w:r>
      <w:proofErr w:type="spellStart"/>
      <w:r w:rsidR="00264AEF" w:rsidRPr="00264AEF">
        <w:rPr>
          <w:i/>
          <w:iCs/>
          <w:sz w:val="20"/>
        </w:rPr>
        <w:t>Grimaldi</w:t>
      </w:r>
      <w:proofErr w:type="spellEnd"/>
      <w:r w:rsidR="00264AEF" w:rsidRPr="00264AEF">
        <w:rPr>
          <w:sz w:val="20"/>
        </w:rPr>
        <w:t>, 875 F.2d 994 (2d Cir. 1989).</w:t>
      </w:r>
    </w:p>
    <w:p w:rsidR="00262080" w:rsidRPr="00262080" w:rsidRDefault="00262080" w:rsidP="00262080">
      <w:pPr>
        <w:rPr>
          <w:sz w:val="20"/>
        </w:rPr>
      </w:pPr>
    </w:p>
    <w:p w:rsidR="00262080" w:rsidRPr="00262080" w:rsidRDefault="006A2B5B" w:rsidP="00262080">
      <w:pPr>
        <w:rPr>
          <w:sz w:val="20"/>
        </w:rPr>
      </w:pPr>
      <w:bookmarkStart w:id="0" w:name="co_anchor_B12045151019_1"/>
      <w:bookmarkEnd w:id="0"/>
      <w:r w:rsidRPr="007E2B51">
        <w:rPr>
          <w:color w:val="808080"/>
          <w:sz w:val="20"/>
        </w:rPr>
        <w:lastRenderedPageBreak/>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2</w:t>
      </w:r>
      <w:r w:rsidRPr="007E2B51">
        <w:rPr>
          <w:color w:val="808080"/>
          <w:sz w:val="20"/>
        </w:rPr>
        <w:fldChar w:fldCharType="end"/>
      </w:r>
      <w:r w:rsidRPr="007E2B51">
        <w:rPr>
          <w:color w:val="808080"/>
          <w:sz w:val="20"/>
        </w:rPr>
        <w:t>]</w:t>
      </w:r>
      <w:r w:rsidRPr="007E2B51">
        <w:rPr>
          <w:sz w:val="20"/>
        </w:rPr>
        <w:t xml:space="preserve"> </w:t>
      </w:r>
      <w:r w:rsidR="00264AEF" w:rsidRPr="00264AEF">
        <w:rPr>
          <w:sz w:val="20"/>
        </w:rPr>
        <w:t xml:space="preserve">We use the </w:t>
      </w:r>
      <w:r w:rsidR="00264AEF" w:rsidRPr="00264AEF">
        <w:rPr>
          <w:i/>
          <w:iCs/>
          <w:sz w:val="20"/>
        </w:rPr>
        <w:t>Rogers</w:t>
      </w:r>
      <w:r w:rsidR="00264AEF" w:rsidRPr="00264AEF">
        <w:rPr>
          <w:sz w:val="20"/>
        </w:rPr>
        <w:t xml:space="preserve"> test to balance the competing interests at stake when a </w:t>
      </w:r>
      <w:bookmarkStart w:id="1" w:name="co_pp_sp_506_261_1"/>
      <w:bookmarkEnd w:id="1"/>
      <w:r w:rsidR="00264AEF" w:rsidRPr="00264AEF">
        <w:rPr>
          <w:sz w:val="20"/>
        </w:rPr>
        <w:t xml:space="preserve">trademark owner claims that an expressive work infringes on its trademark rights. The test construes the Lanham Act to apply to expressive works “only where the public interest in avoiding consumer confusion outweighs the public interest in free expression.” </w:t>
      </w:r>
      <w:r w:rsidR="00264AEF" w:rsidRPr="00264AEF">
        <w:rPr>
          <w:i/>
          <w:iCs/>
          <w:sz w:val="20"/>
        </w:rPr>
        <w:t>Id</w:t>
      </w:r>
      <w:r w:rsidR="00264AEF" w:rsidRPr="00264AEF">
        <w:rPr>
          <w:sz w:val="20"/>
        </w:rPr>
        <w:t xml:space="preserve">. at 999. “[T]hat balance will normally not support application of the Act, unless the [use of the mark] has no artistic relevance to the underlying work whatsoever, or ... explicitly misleads [consumers] as to the source or the content of the work.” </w:t>
      </w:r>
      <w:r w:rsidR="00264AEF" w:rsidRPr="00264AEF">
        <w:rPr>
          <w:i/>
          <w:iCs/>
          <w:sz w:val="20"/>
        </w:rPr>
        <w:t>Id.</w:t>
      </w:r>
    </w:p>
    <w:p w:rsidR="00264AEF" w:rsidRPr="00264AEF" w:rsidRDefault="006A2B5B" w:rsidP="00264AEF">
      <w:pPr>
        <w:rPr>
          <w:sz w:val="20"/>
        </w:rPr>
      </w:pPr>
      <w:bookmarkStart w:id="2" w:name="co_anchor_B22045151019_1"/>
      <w:bookmarkEnd w:id="2"/>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3</w:t>
      </w:r>
      <w:r w:rsidRPr="007E2B51">
        <w:rPr>
          <w:color w:val="808080"/>
          <w:sz w:val="20"/>
        </w:rPr>
        <w:fldChar w:fldCharType="end"/>
      </w:r>
      <w:r w:rsidRPr="007E2B51">
        <w:rPr>
          <w:color w:val="808080"/>
          <w:sz w:val="20"/>
        </w:rPr>
        <w:t>]</w:t>
      </w:r>
      <w:r w:rsidRPr="007E2B51">
        <w:rPr>
          <w:sz w:val="20"/>
        </w:rPr>
        <w:t xml:space="preserve"> </w:t>
      </w:r>
      <w:r w:rsidR="00264AEF" w:rsidRPr="00264AEF">
        <w:rPr>
          <w:sz w:val="20"/>
        </w:rPr>
        <w:t xml:space="preserve">The </w:t>
      </w:r>
      <w:r w:rsidR="00264AEF" w:rsidRPr="00264AEF">
        <w:rPr>
          <w:i/>
          <w:iCs/>
          <w:sz w:val="20"/>
        </w:rPr>
        <w:t>Rogers</w:t>
      </w:r>
      <w:r w:rsidR="00264AEF" w:rsidRPr="00264AEF">
        <w:rPr>
          <w:sz w:val="20"/>
        </w:rPr>
        <w:t xml:space="preserve"> test is not an automatic safe harbor for any minimally expressive work that copies someone else’s mark. Although on every prior occasion in which we have applied the test, we have found that it barred an infringement claim as a matter of law, this case prese</w:t>
      </w:r>
      <w:bookmarkStart w:id="3" w:name="_GoBack"/>
      <w:bookmarkEnd w:id="3"/>
      <w:r w:rsidR="00264AEF" w:rsidRPr="00264AEF">
        <w:rPr>
          <w:sz w:val="20"/>
        </w:rPr>
        <w:t>nts a triable issue of fact. Defendants have not used Gordon’s mark in the creation of a song, photograph, video game, or television show, but have largely just pasted Gordon’s mark into their greeting cards. A jury could determine that this use of Gordon’s mark is explicitly misleading as to the source or content of the cards. We therefore reverse the district court’s grant of summary judgment and remand for further proceedings on Gordon’s claims.</w:t>
      </w:r>
    </w:p>
    <w:p w:rsidR="00262080" w:rsidRPr="00262080" w:rsidRDefault="00262080" w:rsidP="00262080">
      <w:pPr>
        <w:rPr>
          <w:sz w:val="20"/>
        </w:rPr>
      </w:pPr>
    </w:p>
    <w:p w:rsidR="00262080" w:rsidRPr="00262080" w:rsidRDefault="00262080" w:rsidP="00262080">
      <w:pPr>
        <w:pStyle w:val="Centered"/>
      </w:pPr>
      <w:bookmarkStart w:id="4" w:name="co_anchor_I9ee6bbd19f7d11e89ae3971b6d5ad"/>
      <w:bookmarkEnd w:id="4"/>
      <w:r w:rsidRPr="00262080">
        <w:t>I</w:t>
      </w:r>
    </w:p>
    <w:p w:rsidR="00262080" w:rsidRPr="00262080" w:rsidRDefault="006A2B5B" w:rsidP="00262080">
      <w:pPr>
        <w:rPr>
          <w:sz w:val="20"/>
        </w:rPr>
      </w:pPr>
      <w:bookmarkStart w:id="5" w:name="co_pp_sp_999_2_1"/>
      <w:bookmarkEnd w:id="5"/>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4</w:t>
      </w:r>
      <w:r w:rsidRPr="007E2B51">
        <w:rPr>
          <w:color w:val="808080"/>
          <w:sz w:val="20"/>
        </w:rPr>
        <w:fldChar w:fldCharType="end"/>
      </w:r>
      <w:r w:rsidRPr="007E2B51">
        <w:rPr>
          <w:color w:val="808080"/>
          <w:sz w:val="20"/>
        </w:rPr>
        <w:t>]</w:t>
      </w:r>
      <w:r w:rsidRPr="007E2B51">
        <w:rPr>
          <w:sz w:val="20"/>
        </w:rPr>
        <w:t xml:space="preserve"> </w:t>
      </w:r>
      <w:bookmarkStart w:id="6" w:name="co_anchor_I9ee7a6319f7d11e89ae3971b6d5ad"/>
      <w:bookmarkEnd w:id="6"/>
      <w:r w:rsidR="00264AEF" w:rsidRPr="00264AEF">
        <w:rPr>
          <w:sz w:val="20"/>
        </w:rPr>
        <w:t>Plaintiff Christopher Gordon is a comedian, writer, and actor, who commonly uses the name “Randall” as an alias on social media.</w:t>
      </w:r>
      <w:bookmarkStart w:id="7" w:name="co_fnRef_B00032046053674_ID0E4BBG_1"/>
      <w:bookmarkEnd w:id="7"/>
      <w:r w:rsidR="00264AEF" w:rsidRPr="00264AEF">
        <w:rPr>
          <w:sz w:val="20"/>
        </w:rPr>
        <w:t xml:space="preserve"> Defendant DCI is a greeting-card design studio. DCI works exclusively with American Greetings Corporation and its subsidiaries, which include the other defendant in this case, </w:t>
      </w:r>
      <w:proofErr w:type="spellStart"/>
      <w:r w:rsidR="00264AEF" w:rsidRPr="00264AEF">
        <w:rPr>
          <w:sz w:val="20"/>
        </w:rPr>
        <w:t>PRG</w:t>
      </w:r>
      <w:proofErr w:type="spellEnd"/>
      <w:r w:rsidR="00264AEF" w:rsidRPr="00264AEF">
        <w:rPr>
          <w:sz w:val="20"/>
        </w:rPr>
        <w:t xml:space="preserve">. </w:t>
      </w:r>
      <w:proofErr w:type="spellStart"/>
      <w:r w:rsidR="00264AEF" w:rsidRPr="00264AEF">
        <w:rPr>
          <w:sz w:val="20"/>
        </w:rPr>
        <w:t>PRG</w:t>
      </w:r>
      <w:proofErr w:type="spellEnd"/>
      <w:r w:rsidR="00264AEF" w:rsidRPr="00264AEF">
        <w:rPr>
          <w:sz w:val="20"/>
        </w:rPr>
        <w:t xml:space="preserve"> is a greeting-card manufacturer and distributor.</w:t>
      </w:r>
    </w:p>
    <w:p w:rsidR="00262080" w:rsidRPr="00262080" w:rsidRDefault="00262080" w:rsidP="00262080">
      <w:pPr>
        <w:pStyle w:val="Centered"/>
      </w:pPr>
      <w:r w:rsidRPr="00262080">
        <w:t>A</w:t>
      </w:r>
    </w:p>
    <w:p w:rsidR="00262080" w:rsidRPr="00262080" w:rsidRDefault="006A2B5B" w:rsidP="00262080">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5</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 xml:space="preserve">In January 2011, under the name Randall, Gordon posted a video on YouTube titled </w:t>
      </w:r>
      <w:r w:rsidR="00262080" w:rsidRPr="00262080">
        <w:rPr>
          <w:i/>
          <w:iCs/>
          <w:sz w:val="20"/>
        </w:rPr>
        <w:t xml:space="preserve">The Crazy </w:t>
      </w:r>
      <w:proofErr w:type="spellStart"/>
      <w:r w:rsidR="00262080" w:rsidRPr="00262080">
        <w:rPr>
          <w:i/>
          <w:iCs/>
          <w:sz w:val="20"/>
        </w:rPr>
        <w:t>Nastyass</w:t>
      </w:r>
      <w:proofErr w:type="spellEnd"/>
      <w:r w:rsidR="00262080" w:rsidRPr="00262080">
        <w:rPr>
          <w:i/>
          <w:iCs/>
          <w:sz w:val="20"/>
        </w:rPr>
        <w:t xml:space="preserve"> Honey Badger</w:t>
      </w:r>
      <w:r w:rsidR="00262080" w:rsidRPr="00262080">
        <w:rPr>
          <w:sz w:val="20"/>
        </w:rPr>
        <w:t>, featuring National Geographic footage of a honey badger overlaid with Gordon’s narration. In the video, Gordon repeats variations of the phrases “Honey Badger Don’t Care” and “Honey Badger Don’t Give a S---,” as a honey badger hunts and eats its prey. The parties refer to these phrases as “</w:t>
      </w:r>
      <w:proofErr w:type="spellStart"/>
      <w:r w:rsidR="00262080" w:rsidRPr="00262080">
        <w:rPr>
          <w:sz w:val="20"/>
        </w:rPr>
        <w:t>HBDC</w:t>
      </w:r>
      <w:proofErr w:type="spellEnd"/>
      <w:r w:rsidR="00262080" w:rsidRPr="00262080">
        <w:rPr>
          <w:sz w:val="20"/>
        </w:rPr>
        <w:t>” and “</w:t>
      </w:r>
      <w:proofErr w:type="spellStart"/>
      <w:r w:rsidR="00262080" w:rsidRPr="00262080">
        <w:rPr>
          <w:sz w:val="20"/>
        </w:rPr>
        <w:t>HBDGS</w:t>
      </w:r>
      <w:proofErr w:type="spellEnd"/>
      <w:r w:rsidR="00262080" w:rsidRPr="00262080">
        <w:rPr>
          <w:sz w:val="20"/>
        </w:rPr>
        <w:t>,” and we adopt their convention.</w:t>
      </w:r>
    </w:p>
    <w:p w:rsidR="00262080" w:rsidRPr="00262080" w:rsidRDefault="006A2B5B" w:rsidP="00262080">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6</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 xml:space="preserve">Gordon’s video quickly generated millions of views on YouTube and became the subject of numerous pop-culture references in television shows, magazines, and social media. As early as February 2011, Gordon began producing and selling goods with the </w:t>
      </w:r>
      <w:proofErr w:type="spellStart"/>
      <w:r w:rsidR="00262080" w:rsidRPr="00262080">
        <w:rPr>
          <w:sz w:val="20"/>
        </w:rPr>
        <w:t>HBDC</w:t>
      </w:r>
      <w:proofErr w:type="spellEnd"/>
      <w:r w:rsidR="00262080" w:rsidRPr="00262080">
        <w:rPr>
          <w:sz w:val="20"/>
        </w:rPr>
        <w:t xml:space="preserve"> or </w:t>
      </w:r>
      <w:proofErr w:type="spellStart"/>
      <w:r w:rsidR="00262080" w:rsidRPr="00262080">
        <w:rPr>
          <w:sz w:val="20"/>
        </w:rPr>
        <w:t>HBDGS</w:t>
      </w:r>
      <w:proofErr w:type="spellEnd"/>
      <w:r w:rsidR="00262080" w:rsidRPr="00262080">
        <w:rPr>
          <w:sz w:val="20"/>
        </w:rPr>
        <w:t xml:space="preserve"> phrases, such as books, wall calendars, t-shirts, costumes, plush toys, mouse pads, mugs, and decals. Some of the items were sold online; others were sold through national retailers such as Wal-Mart, Target, Urban Outfitters, and Hot Topic. In June 2011, Gordon copyrighted his video’s narration under the title </w:t>
      </w:r>
      <w:r w:rsidR="00262080" w:rsidRPr="00262080">
        <w:rPr>
          <w:i/>
          <w:iCs/>
          <w:sz w:val="20"/>
        </w:rPr>
        <w:t>Honey Badger Don’t Care</w:t>
      </w:r>
      <w:r w:rsidR="00262080" w:rsidRPr="00262080">
        <w:rPr>
          <w:sz w:val="20"/>
        </w:rPr>
        <w:t xml:space="preserve">, and in October 2011, he began filing trademark applications for the </w:t>
      </w:r>
      <w:proofErr w:type="spellStart"/>
      <w:r w:rsidR="00262080" w:rsidRPr="00262080">
        <w:rPr>
          <w:sz w:val="20"/>
        </w:rPr>
        <w:t>HBDC</w:t>
      </w:r>
      <w:proofErr w:type="spellEnd"/>
      <w:r w:rsidR="00262080" w:rsidRPr="00262080">
        <w:rPr>
          <w:sz w:val="20"/>
        </w:rPr>
        <w:t xml:space="preserve"> phrase for various classes of goods. The Patent and Trademark Office (“PTO”) eventually registered “Honey Badger Don’t Care” for International Classes 9 (audio books, etc.), 16 (greeting cards, etc.), 21 (mugs), 25 (clothing), and 28 (Christmas decorations, dolls, etc.).</w:t>
      </w:r>
      <w:bookmarkStart w:id="8" w:name="co_footnoteReference_B00042045151019_ID0"/>
      <w:bookmarkEnd w:id="8"/>
      <w:r w:rsidR="00262080" w:rsidRPr="00262080">
        <w:rPr>
          <w:sz w:val="20"/>
        </w:rPr>
        <w:t xml:space="preserve"> However, Gordon never registered the </w:t>
      </w:r>
      <w:proofErr w:type="spellStart"/>
      <w:r w:rsidR="00262080" w:rsidRPr="00262080">
        <w:rPr>
          <w:sz w:val="20"/>
        </w:rPr>
        <w:t>HBDGS</w:t>
      </w:r>
      <w:proofErr w:type="spellEnd"/>
      <w:r w:rsidR="00262080" w:rsidRPr="00262080">
        <w:rPr>
          <w:sz w:val="20"/>
        </w:rPr>
        <w:t xml:space="preserve"> phrase for any class of goods.</w:t>
      </w:r>
    </w:p>
    <w:p w:rsidR="00262080" w:rsidRPr="00262080" w:rsidRDefault="006A2B5B" w:rsidP="00262080">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7</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 xml:space="preserve">At the peak of his popularity, Gordon promoted his brand on television and radio shows and in interviews with national publications such as </w:t>
      </w:r>
      <w:r w:rsidR="00262080" w:rsidRPr="00262080">
        <w:rPr>
          <w:i/>
          <w:iCs/>
          <w:sz w:val="20"/>
        </w:rPr>
        <w:t>Forbes</w:t>
      </w:r>
      <w:r w:rsidR="00262080" w:rsidRPr="00262080">
        <w:rPr>
          <w:sz w:val="20"/>
        </w:rPr>
        <w:t xml:space="preserve">, </w:t>
      </w:r>
      <w:r w:rsidR="00262080" w:rsidRPr="00262080">
        <w:rPr>
          <w:i/>
          <w:iCs/>
          <w:sz w:val="20"/>
        </w:rPr>
        <w:t>The Wall Street Journal</w:t>
      </w:r>
      <w:r w:rsidR="00262080" w:rsidRPr="00262080">
        <w:rPr>
          <w:sz w:val="20"/>
        </w:rPr>
        <w:t xml:space="preserve">, and </w:t>
      </w:r>
      <w:r w:rsidR="00262080" w:rsidRPr="00262080">
        <w:rPr>
          <w:i/>
          <w:iCs/>
          <w:sz w:val="20"/>
        </w:rPr>
        <w:t>The Huffington Post</w:t>
      </w:r>
      <w:r w:rsidR="00262080" w:rsidRPr="00262080">
        <w:rPr>
          <w:sz w:val="20"/>
        </w:rPr>
        <w:t xml:space="preserve">. His brand was further boosted by celebrities like Taylor Swift and Anderson Cooper quoting his video and by LSU football players tagging their teammate, Heisman Trophy finalist </w:t>
      </w:r>
      <w:proofErr w:type="spellStart"/>
      <w:r w:rsidR="00262080" w:rsidRPr="00262080">
        <w:rPr>
          <w:sz w:val="20"/>
        </w:rPr>
        <w:t>Tyrann</w:t>
      </w:r>
      <w:proofErr w:type="spellEnd"/>
      <w:r w:rsidR="00262080" w:rsidRPr="00262080">
        <w:rPr>
          <w:sz w:val="20"/>
        </w:rPr>
        <w:t xml:space="preserve"> Mathieu, with the moniker “Honey Badger” for his aggressive defensive play. In November 2011, </w:t>
      </w:r>
      <w:r w:rsidR="00262080" w:rsidRPr="00262080">
        <w:rPr>
          <w:i/>
          <w:iCs/>
          <w:sz w:val="20"/>
        </w:rPr>
        <w:t>Advertising Age</w:t>
      </w:r>
      <w:r w:rsidR="00262080" w:rsidRPr="00262080">
        <w:rPr>
          <w:sz w:val="20"/>
        </w:rPr>
        <w:t xml:space="preserve"> referred to Gordon’s brand as one of “America’s Hottest Brands” in an article titled “Hot Brand? Honey Badger Don’t Care.”</w:t>
      </w:r>
    </w:p>
    <w:p w:rsidR="00262080" w:rsidRPr="00262080" w:rsidRDefault="00262080" w:rsidP="00262080">
      <w:pPr>
        <w:pStyle w:val="Centered"/>
      </w:pPr>
      <w:bookmarkStart w:id="9" w:name="co_anchor_I9ee9f0219f7d11e89ae3971b6d5ad"/>
      <w:bookmarkEnd w:id="9"/>
      <w:r w:rsidRPr="00262080">
        <w:t>B</w:t>
      </w:r>
    </w:p>
    <w:p w:rsidR="00262080" w:rsidRPr="00262080" w:rsidRDefault="006A2B5B" w:rsidP="00262080">
      <w:pPr>
        <w:rPr>
          <w:sz w:val="20"/>
        </w:rPr>
      </w:pPr>
      <w:r w:rsidRPr="007E2B51">
        <w:rPr>
          <w:color w:val="808080"/>
          <w:sz w:val="20"/>
        </w:rPr>
        <w:lastRenderedPageBreak/>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8</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 xml:space="preserve">In January 2012, Gordon hired Paul </w:t>
      </w:r>
      <w:proofErr w:type="spellStart"/>
      <w:r w:rsidR="00262080" w:rsidRPr="00262080">
        <w:rPr>
          <w:sz w:val="20"/>
        </w:rPr>
        <w:t>Leonhardt</w:t>
      </w:r>
      <w:proofErr w:type="spellEnd"/>
      <w:r w:rsidR="00262080" w:rsidRPr="00262080">
        <w:rPr>
          <w:sz w:val="20"/>
        </w:rPr>
        <w:t xml:space="preserve"> to serve as his licensing agent. Soon thereafter, </w:t>
      </w:r>
      <w:proofErr w:type="spellStart"/>
      <w:r w:rsidR="00262080" w:rsidRPr="00262080">
        <w:rPr>
          <w:sz w:val="20"/>
        </w:rPr>
        <w:t>Leonhardt</w:t>
      </w:r>
      <w:proofErr w:type="spellEnd"/>
      <w:r w:rsidR="00262080" w:rsidRPr="00262080">
        <w:rPr>
          <w:sz w:val="20"/>
        </w:rPr>
        <w:t xml:space="preserve"> contacted Janice Ross at American Greetings—the parent company of defendant </w:t>
      </w:r>
      <w:proofErr w:type="spellStart"/>
      <w:r w:rsidR="00262080" w:rsidRPr="00262080">
        <w:rPr>
          <w:sz w:val="20"/>
        </w:rPr>
        <w:t>PRG</w:t>
      </w:r>
      <w:proofErr w:type="spellEnd"/>
      <w:r w:rsidR="00262080" w:rsidRPr="00262080">
        <w:rPr>
          <w:sz w:val="20"/>
        </w:rPr>
        <w:t xml:space="preserve">—to discuss licensing honey-badger themed greeting cards. </w:t>
      </w:r>
      <w:proofErr w:type="spellStart"/>
      <w:r w:rsidR="00262080" w:rsidRPr="00262080">
        <w:rPr>
          <w:sz w:val="20"/>
        </w:rPr>
        <w:t>Leonhardt</w:t>
      </w:r>
      <w:proofErr w:type="spellEnd"/>
      <w:r w:rsidR="00262080" w:rsidRPr="00262080">
        <w:rPr>
          <w:sz w:val="20"/>
        </w:rPr>
        <w:t xml:space="preserve"> and Ross had multiple email exchanges and conversations over several weeks. Ross at one point expressed some interest in a licensing agreement, stating: “I think it’s a really fun and irreverent property and would love to see if there’s an opportunity on one of our distribution platforms. But in order to do that, I need to get some key colleagues of mine on board the Crazy Honey Badger Bandwagon.” Nevertheless, neither American Greetings nor defendants ever signed a licensing agreement with Gordon.</w:t>
      </w:r>
    </w:p>
    <w:p w:rsidR="00262080" w:rsidRPr="00262080" w:rsidRDefault="006A2B5B" w:rsidP="00262080">
      <w:pPr>
        <w:rPr>
          <w:sz w:val="20"/>
        </w:rPr>
      </w:pPr>
      <w:bookmarkStart w:id="10" w:name="co_pp_sp_999_3_1"/>
      <w:bookmarkEnd w:id="10"/>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9</w:t>
      </w:r>
      <w:r w:rsidRPr="007E2B51">
        <w:rPr>
          <w:color w:val="808080"/>
          <w:sz w:val="20"/>
        </w:rPr>
        <w:fldChar w:fldCharType="end"/>
      </w:r>
      <w:r w:rsidRPr="007E2B51">
        <w:rPr>
          <w:color w:val="808080"/>
          <w:sz w:val="20"/>
        </w:rPr>
        <w:t>]</w:t>
      </w:r>
      <w:r w:rsidRPr="007E2B51">
        <w:rPr>
          <w:sz w:val="20"/>
        </w:rPr>
        <w:t xml:space="preserve"> </w:t>
      </w:r>
      <w:proofErr w:type="spellStart"/>
      <w:r w:rsidR="00262080" w:rsidRPr="00262080">
        <w:rPr>
          <w:sz w:val="20"/>
        </w:rPr>
        <w:t>Leonhardt</w:t>
      </w:r>
      <w:proofErr w:type="spellEnd"/>
      <w:r w:rsidR="00262080" w:rsidRPr="00262080">
        <w:rPr>
          <w:sz w:val="20"/>
        </w:rPr>
        <w:t xml:space="preserve"> did eventually secure several licensing deals for Gordon. Between May and October 2012, Gordon’s company—Randall’s Honey Badger, LLC (“</w:t>
      </w:r>
      <w:proofErr w:type="spellStart"/>
      <w:r w:rsidR="00262080" w:rsidRPr="00262080">
        <w:rPr>
          <w:sz w:val="20"/>
        </w:rPr>
        <w:t>RHB</w:t>
      </w:r>
      <w:proofErr w:type="spellEnd"/>
      <w:r w:rsidR="00262080" w:rsidRPr="00262080">
        <w:rPr>
          <w:sz w:val="20"/>
        </w:rPr>
        <w:t xml:space="preserve">”)—entered into licensing agreements with Zazzle, Inc., and The Duck Company for various honey-badger themed products, including greeting cards. </w:t>
      </w:r>
      <w:proofErr w:type="spellStart"/>
      <w:r w:rsidR="00262080" w:rsidRPr="00262080">
        <w:rPr>
          <w:sz w:val="20"/>
        </w:rPr>
        <w:t>RHB</w:t>
      </w:r>
      <w:proofErr w:type="spellEnd"/>
      <w:r w:rsidR="00262080" w:rsidRPr="00262080">
        <w:rPr>
          <w:sz w:val="20"/>
        </w:rPr>
        <w:t xml:space="preserve"> also entered into licensing agreements with other companies for honey-badger costumes, toys, t-shirts, sweatshirts, posters, and decals, among other things. </w:t>
      </w:r>
      <w:proofErr w:type="spellStart"/>
      <w:r w:rsidR="00262080" w:rsidRPr="00262080">
        <w:rPr>
          <w:sz w:val="20"/>
        </w:rPr>
        <w:t>HBDC</w:t>
      </w:r>
      <w:proofErr w:type="spellEnd"/>
      <w:r w:rsidR="00262080" w:rsidRPr="00262080">
        <w:rPr>
          <w:sz w:val="20"/>
        </w:rPr>
        <w:t xml:space="preserve"> and </w:t>
      </w:r>
      <w:proofErr w:type="spellStart"/>
      <w:r w:rsidR="00262080" w:rsidRPr="00262080">
        <w:rPr>
          <w:sz w:val="20"/>
        </w:rPr>
        <w:t>HBDGS</w:t>
      </w:r>
      <w:proofErr w:type="spellEnd"/>
      <w:r w:rsidR="00262080" w:rsidRPr="00262080">
        <w:rPr>
          <w:sz w:val="20"/>
        </w:rPr>
        <w:t xml:space="preserve"> were the two most common phrases used on these licensed products. For example, two of Zazzle’s best-selling honey-badger greeting cards stated on their front covers “Honey Badger Don’t Care About Your Birthday.”</w:t>
      </w:r>
    </w:p>
    <w:p w:rsidR="00262080" w:rsidRPr="00262080" w:rsidRDefault="006A2B5B" w:rsidP="00262080">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10</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 xml:space="preserve">At the same time that Gordon was negotiating licensing agreements with Zazzle and Duck, defendants began developing their own line of unlicensed honey-badger greeting cards. Beginning in June 2012, defendants sold seven different greeting cards using the </w:t>
      </w:r>
      <w:proofErr w:type="spellStart"/>
      <w:r w:rsidR="00262080" w:rsidRPr="00262080">
        <w:rPr>
          <w:sz w:val="20"/>
        </w:rPr>
        <w:t>HBDC</w:t>
      </w:r>
      <w:proofErr w:type="spellEnd"/>
      <w:r w:rsidR="00262080" w:rsidRPr="00262080">
        <w:rPr>
          <w:sz w:val="20"/>
        </w:rPr>
        <w:t xml:space="preserve"> or </w:t>
      </w:r>
      <w:proofErr w:type="spellStart"/>
      <w:r w:rsidR="00262080" w:rsidRPr="00262080">
        <w:rPr>
          <w:sz w:val="20"/>
        </w:rPr>
        <w:t>HBDGS</w:t>
      </w:r>
      <w:proofErr w:type="spellEnd"/>
      <w:r w:rsidR="00262080" w:rsidRPr="00262080">
        <w:rPr>
          <w:sz w:val="20"/>
        </w:rPr>
        <w:t xml:space="preserve"> phrases with small variations:</w:t>
      </w:r>
    </w:p>
    <w:p w:rsidR="00262080" w:rsidRPr="00262080" w:rsidRDefault="00262080" w:rsidP="00262080">
      <w:pPr>
        <w:numPr>
          <w:ilvl w:val="0"/>
          <w:numId w:val="49"/>
        </w:numPr>
        <w:rPr>
          <w:sz w:val="20"/>
        </w:rPr>
      </w:pPr>
      <w:r w:rsidRPr="00262080">
        <w:rPr>
          <w:sz w:val="20"/>
        </w:rPr>
        <w:t>The fronts of two “Election Cards” showed a picture of a honey badger wearing a patriotic hat and stated “The Election’s Coming.” The inside of one card said “Me and Honey Badger don’t give a $#%@! Happy Birthday,” and the inside of the other said “Honey Badger and me just don’t care. Happy Birthday.”</w:t>
      </w:r>
    </w:p>
    <w:p w:rsidR="00262080" w:rsidRPr="00262080" w:rsidRDefault="00262080" w:rsidP="00262080">
      <w:pPr>
        <w:numPr>
          <w:ilvl w:val="0"/>
          <w:numId w:val="49"/>
        </w:numPr>
        <w:rPr>
          <w:sz w:val="20"/>
        </w:rPr>
      </w:pPr>
      <w:r w:rsidRPr="00262080">
        <w:rPr>
          <w:sz w:val="20"/>
        </w:rPr>
        <w:t>The fronts of two “Birthday Cards” featured different pictures of a honey badger and stated either “It’s Your Birthday!” or “Honey Badger Heard It’s Your Birthday.” The inside of both cards said “Honey Badger Don’t Give a S---.”</w:t>
      </w:r>
    </w:p>
    <w:p w:rsidR="00262080" w:rsidRPr="00262080" w:rsidRDefault="00262080" w:rsidP="00262080">
      <w:pPr>
        <w:numPr>
          <w:ilvl w:val="0"/>
          <w:numId w:val="49"/>
        </w:numPr>
        <w:rPr>
          <w:sz w:val="20"/>
        </w:rPr>
      </w:pPr>
      <w:r w:rsidRPr="00262080">
        <w:rPr>
          <w:sz w:val="20"/>
        </w:rPr>
        <w:t>The fronts of two “Halloween Cards” showed a picture of a honey badger next to a jack-o-lantern and stated “Halloween is Here.” The inside of the cards said either “Honey Badger don’t give a $#*%!” or “Honey Badger don’t give a s---.”</w:t>
      </w:r>
    </w:p>
    <w:p w:rsidR="00262080" w:rsidRPr="00262080" w:rsidRDefault="00262080" w:rsidP="00262080">
      <w:pPr>
        <w:numPr>
          <w:ilvl w:val="0"/>
          <w:numId w:val="49"/>
        </w:numPr>
        <w:rPr>
          <w:sz w:val="20"/>
        </w:rPr>
      </w:pPr>
      <w:r w:rsidRPr="00262080">
        <w:rPr>
          <w:sz w:val="20"/>
        </w:rPr>
        <w:t xml:space="preserve">A “Critter Card” employed a Twitter-style format showing a series of messages from “Honey </w:t>
      </w:r>
      <w:proofErr w:type="spellStart"/>
      <w:r w:rsidRPr="00262080">
        <w:rPr>
          <w:sz w:val="20"/>
        </w:rPr>
        <w:t>Badger@don’tgiveas</w:t>
      </w:r>
      <w:proofErr w:type="spellEnd"/>
      <w:r w:rsidRPr="00262080">
        <w:rPr>
          <w:sz w:val="20"/>
        </w:rPr>
        <w:t>---.” The front stated “Just killed a cobra. Don’t give a s---”; “Just ate a scorpion. Don’t give a s---”; and “Rolling in fire ants. Don’t give a s---.”</w:t>
      </w:r>
      <w:bookmarkStart w:id="11" w:name="co_footnoteReference_B00052045151019_ID0"/>
      <w:bookmarkEnd w:id="11"/>
      <w:r w:rsidR="00850696">
        <w:rPr>
          <w:rStyle w:val="FootnoteReference"/>
          <w:sz w:val="20"/>
        </w:rPr>
        <w:footnoteReference w:customMarkFollows="1" w:id="1"/>
        <w:t>3</w:t>
      </w:r>
      <w:r w:rsidRPr="00262080">
        <w:rPr>
          <w:sz w:val="20"/>
        </w:rPr>
        <w:t xml:space="preserve"> The inside said “Your Birthday’s here... I give a s---.”</w:t>
      </w:r>
    </w:p>
    <w:p w:rsidR="00262080" w:rsidRPr="00262080" w:rsidRDefault="006A2B5B" w:rsidP="00262080">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11</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 xml:space="preserve">The back cover of each card displayed the mark for “Recycled Paper Greetings” and listed the websites www.DCIStudios.com and www.prgreetings.com. DCI’s President testified that he drafted all of the cards in question but could not recall what inspired the cards’ designs. He claimed to have never heard of a video involving a honey badger. </w:t>
      </w:r>
    </w:p>
    <w:p w:rsidR="00262080" w:rsidRPr="00262080" w:rsidRDefault="006A2B5B" w:rsidP="00262080">
      <w:pPr>
        <w:rPr>
          <w:sz w:val="20"/>
        </w:rPr>
      </w:pPr>
      <w:bookmarkStart w:id="12" w:name="co_anchor_B32045151019_1"/>
      <w:bookmarkEnd w:id="12"/>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12</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 xml:space="preserve">In June 2015, Gordon filed </w:t>
      </w:r>
      <w:r w:rsidR="00264AEF">
        <w:rPr>
          <w:sz w:val="20"/>
        </w:rPr>
        <w:t>this suit</w:t>
      </w:r>
      <w:r w:rsidR="00262080" w:rsidRPr="00262080">
        <w:rPr>
          <w:sz w:val="20"/>
        </w:rPr>
        <w:t xml:space="preserve"> against DCI and </w:t>
      </w:r>
      <w:proofErr w:type="spellStart"/>
      <w:r w:rsidR="00262080" w:rsidRPr="00262080">
        <w:rPr>
          <w:sz w:val="20"/>
        </w:rPr>
        <w:t>PRG</w:t>
      </w:r>
      <w:proofErr w:type="spellEnd"/>
      <w:r w:rsidR="00262080" w:rsidRPr="00262080">
        <w:rPr>
          <w:sz w:val="20"/>
        </w:rPr>
        <w:t xml:space="preserve">, alleging trademark infringement under the Lanham Act, among other claims. The district court granted summary </w:t>
      </w:r>
      <w:r w:rsidR="00262080" w:rsidRPr="00262080">
        <w:rPr>
          <w:sz w:val="20"/>
        </w:rPr>
        <w:lastRenderedPageBreak/>
        <w:t xml:space="preserve">judgment for defendants, holding that defendants’ greeting cards were expressive works, and applying the </w:t>
      </w:r>
      <w:r w:rsidR="00262080" w:rsidRPr="00262080">
        <w:rPr>
          <w:i/>
          <w:iCs/>
          <w:sz w:val="20"/>
        </w:rPr>
        <w:t>Rogers</w:t>
      </w:r>
      <w:r w:rsidR="00262080" w:rsidRPr="00262080">
        <w:rPr>
          <w:sz w:val="20"/>
        </w:rPr>
        <w:t xml:space="preserve"> test to bar all of Gordon’s claims. Gordon timely appealed.</w:t>
      </w:r>
      <w:bookmarkStart w:id="13" w:name="co_footnoteReference_B00062045151019_ID0"/>
      <w:bookmarkStart w:id="14" w:name="co_anchor_I9eefbc819f7d11e89ae3971b6d5ad"/>
      <w:bookmarkEnd w:id="13"/>
      <w:bookmarkEnd w:id="14"/>
    </w:p>
    <w:p w:rsidR="00262080" w:rsidRPr="00262080" w:rsidRDefault="00262080" w:rsidP="00262080">
      <w:pPr>
        <w:pStyle w:val="Centered"/>
      </w:pPr>
      <w:r w:rsidRPr="00262080">
        <w:t>II</w:t>
      </w:r>
    </w:p>
    <w:p w:rsidR="00262080" w:rsidRPr="00262080" w:rsidRDefault="00262080" w:rsidP="00262080">
      <w:pPr>
        <w:rPr>
          <w:sz w:val="20"/>
        </w:rPr>
      </w:pPr>
      <w:bookmarkStart w:id="15" w:name="co_anchor_B42045151019_1"/>
      <w:bookmarkStart w:id="16" w:name="co_anchor_B52045151019_1"/>
      <w:bookmarkEnd w:id="15"/>
      <w:bookmarkEnd w:id="16"/>
      <w:r>
        <w:rPr>
          <w:sz w:val="20"/>
        </w:rPr>
        <w:t>…</w:t>
      </w:r>
      <w:r w:rsidR="00850696">
        <w:rPr>
          <w:sz w:val="20"/>
        </w:rPr>
        <w:t>.</w:t>
      </w:r>
      <w:r w:rsidR="00264AEF">
        <w:rPr>
          <w:rStyle w:val="FootnoteReference"/>
          <w:sz w:val="20"/>
        </w:rPr>
        <w:footnoteReference w:customMarkFollows="1" w:id="2"/>
        <w:t>5</w:t>
      </w:r>
    </w:p>
    <w:p w:rsidR="00262080" w:rsidRDefault="006A2B5B" w:rsidP="00262080">
      <w:pPr>
        <w:rPr>
          <w:sz w:val="20"/>
        </w:rPr>
      </w:pPr>
      <w:bookmarkStart w:id="17" w:name="co_anchor_B62045151019_1"/>
      <w:bookmarkStart w:id="18" w:name="co_anchor_B72045151019_1"/>
      <w:bookmarkEnd w:id="17"/>
      <w:bookmarkEnd w:id="18"/>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13</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 xml:space="preserve">In general, we apply a “likelihood-of-confusion test” to claims brought under the Lanham Act. </w:t>
      </w:r>
      <w:r w:rsidR="00262080" w:rsidRPr="00262080">
        <w:rPr>
          <w:i/>
          <w:iCs/>
          <w:sz w:val="20"/>
        </w:rPr>
        <w:t xml:space="preserve">Twentieth Century Fox Television v. Empire </w:t>
      </w:r>
      <w:proofErr w:type="spellStart"/>
      <w:r w:rsidR="00262080" w:rsidRPr="00262080">
        <w:rPr>
          <w:i/>
          <w:iCs/>
          <w:sz w:val="20"/>
        </w:rPr>
        <w:t>Distrib</w:t>
      </w:r>
      <w:proofErr w:type="spellEnd"/>
      <w:r w:rsidR="00262080" w:rsidRPr="00262080">
        <w:rPr>
          <w:i/>
          <w:iCs/>
          <w:sz w:val="20"/>
        </w:rPr>
        <w:t>., Inc.</w:t>
      </w:r>
      <w:r w:rsidR="00262080" w:rsidRPr="00262080">
        <w:rPr>
          <w:sz w:val="20"/>
        </w:rPr>
        <w:t xml:space="preserve">, 875 F.3d 1192, 1196 (9th Cir. 2017); </w:t>
      </w:r>
      <w:r w:rsidR="00262080" w:rsidRPr="00262080">
        <w:rPr>
          <w:i/>
          <w:iCs/>
          <w:sz w:val="20"/>
        </w:rPr>
        <w:t>Mattel, Inc. v. Walking Mountain Prods.</w:t>
      </w:r>
      <w:r w:rsidR="00262080" w:rsidRPr="00262080">
        <w:rPr>
          <w:sz w:val="20"/>
        </w:rPr>
        <w:t xml:space="preserve">, 353 F.3d 792, 806–07 (9th Cir. 2003). The likelihood-of-confusion test requires the plaintiff to prove two elements: (1) that “it has a valid, protectable trademark” and (2) that “the defendant’s use of the mark is likely to cause confusion.” </w:t>
      </w:r>
      <w:r w:rsidR="00262080" w:rsidRPr="00262080">
        <w:rPr>
          <w:i/>
          <w:iCs/>
          <w:sz w:val="20"/>
        </w:rPr>
        <w:t xml:space="preserve">S. Cal. Darts </w:t>
      </w:r>
      <w:proofErr w:type="spellStart"/>
      <w:r w:rsidR="00262080" w:rsidRPr="00262080">
        <w:rPr>
          <w:i/>
          <w:iCs/>
          <w:sz w:val="20"/>
        </w:rPr>
        <w:t>Ass’n</w:t>
      </w:r>
      <w:proofErr w:type="spellEnd"/>
      <w:r w:rsidR="00262080" w:rsidRPr="00262080">
        <w:rPr>
          <w:i/>
          <w:iCs/>
          <w:sz w:val="20"/>
        </w:rPr>
        <w:t xml:space="preserve"> v. </w:t>
      </w:r>
      <w:proofErr w:type="spellStart"/>
      <w:r w:rsidR="00262080" w:rsidRPr="00262080">
        <w:rPr>
          <w:i/>
          <w:iCs/>
          <w:sz w:val="20"/>
        </w:rPr>
        <w:t>Zaffina</w:t>
      </w:r>
      <w:proofErr w:type="spellEnd"/>
      <w:r w:rsidR="00262080" w:rsidRPr="00262080">
        <w:rPr>
          <w:sz w:val="20"/>
        </w:rPr>
        <w:t xml:space="preserve">, 762 F.3d 921, 929 (9th Cir. 2014) (alteration omitted). Ordinarily, this test “strikes a comfortable balance” between the Lanham Act and the First Amendment. </w:t>
      </w:r>
      <w:r w:rsidR="00262080" w:rsidRPr="00262080">
        <w:rPr>
          <w:i/>
          <w:iCs/>
          <w:sz w:val="20"/>
        </w:rPr>
        <w:t>Mattel, Inc. v. MCA Records, Inc.</w:t>
      </w:r>
      <w:r w:rsidR="00262080" w:rsidRPr="00262080">
        <w:rPr>
          <w:sz w:val="20"/>
        </w:rPr>
        <w:t>, 296 F.3d 894, 900 (9th Cir. 2002).</w:t>
      </w:r>
      <w:bookmarkStart w:id="19" w:name="co_anchor_B82045151019_1"/>
      <w:bookmarkEnd w:id="19"/>
    </w:p>
    <w:p w:rsidR="00262080" w:rsidRPr="00262080" w:rsidRDefault="006A2B5B" w:rsidP="00262080">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14</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 xml:space="preserve">That said, where artistic expression is at issue, we have expressed concern that “the traditional test fails to account for the full weight of the public’s interest in free expression.” </w:t>
      </w:r>
      <w:r w:rsidR="00262080" w:rsidRPr="00262080">
        <w:rPr>
          <w:i/>
          <w:iCs/>
          <w:sz w:val="20"/>
        </w:rPr>
        <w:t>Id.</w:t>
      </w:r>
      <w:r w:rsidR="00262080" w:rsidRPr="00262080">
        <w:rPr>
          <w:sz w:val="20"/>
        </w:rPr>
        <w:t xml:space="preserve"> The owner of a trademark “does not have the right to control public discourse” by enforcing his mark. </w:t>
      </w:r>
      <w:r w:rsidR="00262080" w:rsidRPr="00262080">
        <w:rPr>
          <w:i/>
          <w:iCs/>
          <w:sz w:val="20"/>
        </w:rPr>
        <w:t>Id.</w:t>
      </w:r>
      <w:r w:rsidR="00262080" w:rsidRPr="00262080">
        <w:rPr>
          <w:sz w:val="20"/>
        </w:rPr>
        <w:t xml:space="preserve"> We have adopted the Second Circuit’s </w:t>
      </w:r>
      <w:r w:rsidR="00262080" w:rsidRPr="00262080">
        <w:rPr>
          <w:i/>
          <w:iCs/>
          <w:sz w:val="20"/>
        </w:rPr>
        <w:t>Rogers</w:t>
      </w:r>
      <w:r w:rsidR="00262080" w:rsidRPr="00262080">
        <w:rPr>
          <w:sz w:val="20"/>
        </w:rPr>
        <w:t xml:space="preserve"> test to strike an appropriate balance between First Amendment interests in protecting artistic expression and the Lanham Act’s purposes to secure trademarks rights. Under </w:t>
      </w:r>
      <w:r w:rsidR="00262080" w:rsidRPr="00262080">
        <w:rPr>
          <w:i/>
          <w:iCs/>
          <w:sz w:val="20"/>
        </w:rPr>
        <w:t>Rogers</w:t>
      </w:r>
      <w:r w:rsidR="00262080" w:rsidRPr="00262080">
        <w:rPr>
          <w:sz w:val="20"/>
        </w:rPr>
        <w:t xml:space="preserve">, we read the Act “to apply to artistic works only where the public interest in avoiding consumer confusion outweighs the public interest in free expression.” </w:t>
      </w:r>
      <w:r w:rsidR="00262080" w:rsidRPr="00262080">
        <w:rPr>
          <w:i/>
          <w:iCs/>
          <w:sz w:val="20"/>
        </w:rPr>
        <w:t>Id.</w:t>
      </w:r>
      <w:r w:rsidR="00262080" w:rsidRPr="00262080">
        <w:rPr>
          <w:sz w:val="20"/>
        </w:rPr>
        <w:t xml:space="preserve"> at 901 (quoting </w:t>
      </w:r>
      <w:r w:rsidR="00262080" w:rsidRPr="00262080">
        <w:rPr>
          <w:i/>
          <w:iCs/>
          <w:sz w:val="20"/>
        </w:rPr>
        <w:t>Rogers</w:t>
      </w:r>
      <w:r w:rsidR="00262080" w:rsidRPr="00262080">
        <w:rPr>
          <w:sz w:val="20"/>
        </w:rPr>
        <w:t xml:space="preserve">, 875 F.2d at 999). More concretely, we apply the Act to an expressive work only if the defendant’s use of the mark is (1) not artistically relevant to the work or (2) explicitly misleads consumers as to the source or the content of the work. </w:t>
      </w:r>
      <w:r w:rsidR="00262080" w:rsidRPr="00262080">
        <w:rPr>
          <w:i/>
          <w:iCs/>
          <w:sz w:val="20"/>
        </w:rPr>
        <w:t>See id.</w:t>
      </w:r>
      <w:r w:rsidR="00262080" w:rsidRPr="00262080">
        <w:rPr>
          <w:sz w:val="20"/>
        </w:rPr>
        <w:t xml:space="preserve"> at 902. Effectively, </w:t>
      </w:r>
      <w:r w:rsidR="00262080" w:rsidRPr="00262080">
        <w:rPr>
          <w:i/>
          <w:iCs/>
          <w:sz w:val="20"/>
        </w:rPr>
        <w:t>Rogers</w:t>
      </w:r>
      <w:r w:rsidR="00262080" w:rsidRPr="00262080">
        <w:rPr>
          <w:sz w:val="20"/>
        </w:rPr>
        <w:t xml:space="preserve"> employs the First Amendment as a rule of construction to avoid conflict between the Constitution and the Lanham Act.</w:t>
      </w:r>
    </w:p>
    <w:p w:rsidR="00262080" w:rsidRPr="00262080" w:rsidRDefault="006A2B5B" w:rsidP="00262080">
      <w:pPr>
        <w:rPr>
          <w:sz w:val="20"/>
        </w:rPr>
      </w:pPr>
      <w:bookmarkStart w:id="20" w:name="co_anchor_B92045151019_1"/>
      <w:bookmarkEnd w:id="20"/>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15</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 xml:space="preserve">We pause here to clarify the burden of proof under the </w:t>
      </w:r>
      <w:r w:rsidR="00262080" w:rsidRPr="00262080">
        <w:rPr>
          <w:i/>
          <w:iCs/>
          <w:sz w:val="20"/>
        </w:rPr>
        <w:t>Rogers</w:t>
      </w:r>
      <w:r w:rsidR="00262080" w:rsidRPr="00262080">
        <w:rPr>
          <w:sz w:val="20"/>
        </w:rPr>
        <w:t xml:space="preserve"> test. The </w:t>
      </w:r>
      <w:r w:rsidR="00262080" w:rsidRPr="00262080">
        <w:rPr>
          <w:i/>
          <w:iCs/>
          <w:sz w:val="20"/>
        </w:rPr>
        <w:t>Rogers</w:t>
      </w:r>
      <w:r w:rsidR="00262080" w:rsidRPr="00262080">
        <w:rPr>
          <w:sz w:val="20"/>
        </w:rPr>
        <w:t xml:space="preserve"> test requires the defendant to make a threshold legal showing that its allegedly infringing use is part of an expressive work protected by the First Amendment. If the defendant successfully makes that threshold showing, then the plaintiff claiming trademark infringement bears a heightened burden—the plaintiff must satisfy not only the likelihood-of-confusion test but also at least one of </w:t>
      </w:r>
      <w:r w:rsidR="00262080" w:rsidRPr="00262080">
        <w:rPr>
          <w:i/>
          <w:iCs/>
          <w:sz w:val="20"/>
        </w:rPr>
        <w:t>Rogers</w:t>
      </w:r>
      <w:r w:rsidR="00262080" w:rsidRPr="00262080">
        <w:rPr>
          <w:sz w:val="20"/>
        </w:rPr>
        <w:t xml:space="preserve">’s two prongs. </w:t>
      </w:r>
      <w:r w:rsidR="00262080" w:rsidRPr="00262080">
        <w:rPr>
          <w:i/>
          <w:iCs/>
          <w:sz w:val="20"/>
        </w:rPr>
        <w:t xml:space="preserve">Cf. </w:t>
      </w:r>
      <w:proofErr w:type="spellStart"/>
      <w:r w:rsidR="00262080" w:rsidRPr="00262080">
        <w:rPr>
          <w:i/>
          <w:iCs/>
          <w:sz w:val="20"/>
        </w:rPr>
        <w:t>Makaeff</w:t>
      </w:r>
      <w:proofErr w:type="spellEnd"/>
      <w:r w:rsidR="00262080" w:rsidRPr="00262080">
        <w:rPr>
          <w:i/>
          <w:iCs/>
          <w:sz w:val="20"/>
        </w:rPr>
        <w:t xml:space="preserve"> v. Trump Univ., LLC</w:t>
      </w:r>
      <w:r w:rsidR="00262080" w:rsidRPr="00262080">
        <w:rPr>
          <w:sz w:val="20"/>
        </w:rPr>
        <w:t xml:space="preserve">, 715 F.3d 254, 261 (9th Cir. 2013) (if a defendant meets its “initial burden” of showing a First Amendment interest, then a public-figure plaintiff claiming defamation must meet a “heightened standard of proof” requiring a showing of “actual malice”). That is, when the defendant demonstrates that First Amendment interests are at stake, the plaintiff claiming infringement must show (1) that it has a valid, protectable trademark, and (2) that the mark is either not artistically relevant to the underlying work </w:t>
      </w:r>
      <w:r w:rsidR="00262080" w:rsidRPr="00262080">
        <w:rPr>
          <w:i/>
          <w:iCs/>
          <w:sz w:val="20"/>
        </w:rPr>
        <w:t>or</w:t>
      </w:r>
      <w:r w:rsidR="00262080" w:rsidRPr="00262080">
        <w:rPr>
          <w:sz w:val="20"/>
        </w:rPr>
        <w:t xml:space="preserve"> explicitly mislead</w:t>
      </w:r>
      <w:r w:rsidR="00264AEF">
        <w:rPr>
          <w:sz w:val="20"/>
        </w:rPr>
        <w:t>ing</w:t>
      </w:r>
      <w:r w:rsidR="00262080" w:rsidRPr="00262080">
        <w:rPr>
          <w:sz w:val="20"/>
        </w:rPr>
        <w:t xml:space="preserve"> consumers as to the source or content of the </w:t>
      </w:r>
      <w:r w:rsidR="00262080" w:rsidRPr="00262080">
        <w:rPr>
          <w:sz w:val="20"/>
        </w:rPr>
        <w:lastRenderedPageBreak/>
        <w:t>work.</w:t>
      </w:r>
      <w:r w:rsidR="00264AEF" w:rsidRPr="00264AEF">
        <w:t xml:space="preserve"> </w:t>
      </w:r>
      <w:r w:rsidR="00264AEF" w:rsidRPr="00264AEF">
        <w:rPr>
          <w:sz w:val="20"/>
        </w:rPr>
        <w:t>If the plaintiff satisfies both elements, it still must prove that its trademark has been infringed by showing that the defendant’s use of the mark is likely to cause confusion.</w:t>
      </w:r>
      <w:r w:rsidR="00FE58A6">
        <w:rPr>
          <w:rStyle w:val="FootnoteReference"/>
          <w:sz w:val="20"/>
        </w:rPr>
        <w:footnoteReference w:customMarkFollows="1" w:id="3"/>
        <w:t>7</w:t>
      </w:r>
    </w:p>
    <w:p w:rsidR="00262080" w:rsidRPr="00262080" w:rsidRDefault="006A2B5B" w:rsidP="00262080">
      <w:pPr>
        <w:rPr>
          <w:sz w:val="20"/>
        </w:rPr>
      </w:pPr>
      <w:bookmarkStart w:id="21" w:name="co_pp_sp_999_5_1"/>
      <w:bookmarkEnd w:id="21"/>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16</w:t>
      </w:r>
      <w:r w:rsidRPr="007E2B51">
        <w:rPr>
          <w:color w:val="808080"/>
          <w:sz w:val="20"/>
        </w:rPr>
        <w:fldChar w:fldCharType="end"/>
      </w:r>
      <w:r w:rsidRPr="007E2B51">
        <w:rPr>
          <w:color w:val="808080"/>
          <w:sz w:val="20"/>
        </w:rPr>
        <w:t>]</w:t>
      </w:r>
      <w:r w:rsidRPr="007E2B51">
        <w:rPr>
          <w:sz w:val="20"/>
        </w:rPr>
        <w:t xml:space="preserve"> </w:t>
      </w:r>
      <w:r w:rsidR="00850696">
        <w:rPr>
          <w:sz w:val="20"/>
        </w:rPr>
        <w:t xml:space="preserve">…. </w:t>
      </w:r>
      <w:r w:rsidR="00262080" w:rsidRPr="00262080">
        <w:rPr>
          <w:sz w:val="20"/>
        </w:rPr>
        <w:t xml:space="preserve">When, as here, the defendant moves for summary judgment and has demonstrated that its use of the plaintiff’s mark is part of an expressive work, the burden shifts to the plaintiff to raise a genuine dispute as to at least one of </w:t>
      </w:r>
      <w:r w:rsidR="00262080" w:rsidRPr="00262080">
        <w:rPr>
          <w:i/>
          <w:iCs/>
          <w:sz w:val="20"/>
        </w:rPr>
        <w:t>Rogers</w:t>
      </w:r>
      <w:r w:rsidR="00262080" w:rsidRPr="00262080">
        <w:rPr>
          <w:sz w:val="20"/>
        </w:rPr>
        <w:t>’s two prongs. In other words, to evade summary judgment, the plaintiff must show a triable issue of fact as to whether the mark is artistically relevant to the underlying work or explicitly misleads consumers as to the source or content of the work.</w:t>
      </w:r>
    </w:p>
    <w:p w:rsidR="00262080" w:rsidRPr="00262080" w:rsidRDefault="00262080" w:rsidP="00850696">
      <w:pPr>
        <w:pStyle w:val="Centered"/>
      </w:pPr>
      <w:bookmarkStart w:id="22" w:name="co_anchor_I9ef5fe119f7d11e89ae3971b6d5ad"/>
      <w:bookmarkEnd w:id="22"/>
      <w:r w:rsidRPr="00262080">
        <w:t>III</w:t>
      </w:r>
    </w:p>
    <w:p w:rsidR="00262080" w:rsidRPr="00262080" w:rsidRDefault="006A2B5B" w:rsidP="00262080">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17</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 xml:space="preserve">Before applying the </w:t>
      </w:r>
      <w:r w:rsidR="00262080" w:rsidRPr="00262080">
        <w:rPr>
          <w:i/>
          <w:iCs/>
          <w:sz w:val="20"/>
        </w:rPr>
        <w:t>Rogers</w:t>
      </w:r>
      <w:r w:rsidR="00262080" w:rsidRPr="00262080">
        <w:rPr>
          <w:sz w:val="20"/>
        </w:rPr>
        <w:t xml:space="preserve"> test to the instant case, we briefly review the test’s origin in the Second Circuit and development in our court.</w:t>
      </w:r>
      <w:bookmarkStart w:id="23" w:name="co_footnoteReference_B00072045151019_ID0"/>
      <w:bookmarkEnd w:id="23"/>
      <w:r w:rsidR="00FE58A6">
        <w:rPr>
          <w:rStyle w:val="FootnoteReference"/>
          <w:sz w:val="20"/>
        </w:rPr>
        <w:footnoteReference w:customMarkFollows="1" w:id="4"/>
        <w:t>8</w:t>
      </w:r>
      <w:r w:rsidR="00262080" w:rsidRPr="00262080">
        <w:rPr>
          <w:sz w:val="20"/>
        </w:rPr>
        <w:t xml:space="preserve"> We have applied the </w:t>
      </w:r>
      <w:r w:rsidR="00262080" w:rsidRPr="00262080">
        <w:rPr>
          <w:i/>
          <w:iCs/>
          <w:sz w:val="20"/>
        </w:rPr>
        <w:t>Rogers</w:t>
      </w:r>
      <w:r w:rsidR="00262080" w:rsidRPr="00262080">
        <w:rPr>
          <w:sz w:val="20"/>
        </w:rPr>
        <w:t xml:space="preserve"> test on five separate occasions, and each time we have concluded that it barred the trademark infringement</w:t>
      </w:r>
      <w:r w:rsidR="00FE58A6">
        <w:rPr>
          <w:sz w:val="20"/>
        </w:rPr>
        <w:t>-</w:t>
      </w:r>
      <w:r w:rsidR="00262080" w:rsidRPr="00262080">
        <w:rPr>
          <w:sz w:val="20"/>
        </w:rPr>
        <w:t xml:space="preserve">claim as a matter of law. Three of those cases, like </w:t>
      </w:r>
      <w:r w:rsidR="00262080" w:rsidRPr="00262080">
        <w:rPr>
          <w:i/>
          <w:iCs/>
          <w:sz w:val="20"/>
        </w:rPr>
        <w:t>Rogers</w:t>
      </w:r>
      <w:r w:rsidR="00262080" w:rsidRPr="00262080">
        <w:rPr>
          <w:sz w:val="20"/>
        </w:rPr>
        <w:t xml:space="preserve">, involved the use of a trademark in the title of an expressive work. Two cases involved trademarks in video games and extended the </w:t>
      </w:r>
      <w:r w:rsidR="00262080" w:rsidRPr="00262080">
        <w:rPr>
          <w:i/>
          <w:iCs/>
          <w:sz w:val="20"/>
        </w:rPr>
        <w:t>Rogers</w:t>
      </w:r>
      <w:r w:rsidR="00262080" w:rsidRPr="00262080">
        <w:rPr>
          <w:sz w:val="20"/>
        </w:rPr>
        <w:t xml:space="preserve"> test to the use of a trademark in the body of an expressive work.</w:t>
      </w:r>
      <w:bookmarkStart w:id="24" w:name="co_anchor_I9ef784b19f7d11e89ae3971b6d5ad"/>
      <w:bookmarkEnd w:id="24"/>
    </w:p>
    <w:p w:rsidR="00262080" w:rsidRPr="00262080" w:rsidRDefault="00262080" w:rsidP="00850696">
      <w:pPr>
        <w:pStyle w:val="Centered"/>
      </w:pPr>
      <w:r w:rsidRPr="00262080">
        <w:t>A</w:t>
      </w:r>
    </w:p>
    <w:p w:rsidR="00262080" w:rsidRPr="00262080" w:rsidRDefault="006A2B5B" w:rsidP="00262080">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18</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 xml:space="preserve">The </w:t>
      </w:r>
      <w:r w:rsidR="00262080" w:rsidRPr="00262080">
        <w:rPr>
          <w:i/>
          <w:iCs/>
          <w:sz w:val="20"/>
        </w:rPr>
        <w:t>Rogers</w:t>
      </w:r>
      <w:r w:rsidR="00262080" w:rsidRPr="00262080">
        <w:rPr>
          <w:sz w:val="20"/>
        </w:rPr>
        <w:t xml:space="preserve"> case concerned the movie </w:t>
      </w:r>
      <w:r w:rsidR="00262080" w:rsidRPr="00262080">
        <w:rPr>
          <w:i/>
          <w:iCs/>
          <w:sz w:val="20"/>
        </w:rPr>
        <w:t>Ginger and Fred</w:t>
      </w:r>
      <w:r w:rsidR="00262080" w:rsidRPr="00262080">
        <w:rPr>
          <w:sz w:val="20"/>
        </w:rPr>
        <w:t xml:space="preserve">, a story of two fictional Italian cabaret performers who imitated the famed Hollywood duo of Ginger Rogers and Fred Astaire. 875 F.2d at 996–97. Rogers sued the film’s producers under the Lanham Act, alleging that the film’s title gave the false impression that the film—created and directed by well-known filmmaker Federico Fellini—was about her or sponsored by her. </w:t>
      </w:r>
      <w:r w:rsidR="00262080" w:rsidRPr="00262080">
        <w:rPr>
          <w:i/>
          <w:iCs/>
          <w:sz w:val="20"/>
        </w:rPr>
        <w:t>Id.</w:t>
      </w:r>
      <w:r w:rsidR="00262080" w:rsidRPr="00262080">
        <w:rPr>
          <w:sz w:val="20"/>
        </w:rPr>
        <w:t xml:space="preserve"> at 997. The district court, however, granted summary judgment for the defendant film producers. </w:t>
      </w:r>
      <w:r w:rsidR="00262080" w:rsidRPr="00262080">
        <w:rPr>
          <w:i/>
          <w:iCs/>
          <w:sz w:val="20"/>
        </w:rPr>
        <w:t>Id.</w:t>
      </w:r>
    </w:p>
    <w:p w:rsidR="00262080" w:rsidRPr="00262080" w:rsidRDefault="006A2B5B" w:rsidP="00262080">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19</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On appeal, the Second Circuit recognized that, “[t]</w:t>
      </w:r>
      <w:proofErr w:type="spellStart"/>
      <w:r w:rsidR="00262080" w:rsidRPr="00262080">
        <w:rPr>
          <w:sz w:val="20"/>
        </w:rPr>
        <w:t>hough</w:t>
      </w:r>
      <w:proofErr w:type="spellEnd"/>
      <w:r w:rsidR="00262080" w:rsidRPr="00262080">
        <w:rPr>
          <w:sz w:val="20"/>
        </w:rPr>
        <w:t xml:space="preserve"> First Amendment concerns do not insulate titles of artistic works from all Lanham Act claims, such concerns must nonetheless inform our consideration of the scope of the Act as applied to claims involving such titles.” </w:t>
      </w:r>
      <w:r w:rsidR="00262080" w:rsidRPr="00262080">
        <w:rPr>
          <w:i/>
          <w:iCs/>
          <w:sz w:val="20"/>
        </w:rPr>
        <w:t>Id.</w:t>
      </w:r>
      <w:r w:rsidR="00262080" w:rsidRPr="00262080">
        <w:rPr>
          <w:sz w:val="20"/>
        </w:rPr>
        <w:t xml:space="preserve"> at 998. The court said it would construe the Lanham Act “to apply to artistic works only where the public interest in avoiding consumer confusion outweighs the public interest in free expression.” </w:t>
      </w:r>
      <w:r w:rsidR="00262080" w:rsidRPr="00262080">
        <w:rPr>
          <w:i/>
          <w:iCs/>
          <w:sz w:val="20"/>
        </w:rPr>
        <w:t>Id.</w:t>
      </w:r>
      <w:r w:rsidR="00262080" w:rsidRPr="00262080">
        <w:rPr>
          <w:sz w:val="20"/>
        </w:rPr>
        <w:t xml:space="preserve"> at 999. Refining its inquiry, the court further held that, “[</w:t>
      </w:r>
      <w:proofErr w:type="spellStart"/>
      <w:r w:rsidR="00262080" w:rsidRPr="00262080">
        <w:rPr>
          <w:sz w:val="20"/>
        </w:rPr>
        <w:t>i</w:t>
      </w:r>
      <w:proofErr w:type="spellEnd"/>
      <w:r w:rsidR="00262080" w:rsidRPr="00262080">
        <w:rPr>
          <w:sz w:val="20"/>
        </w:rPr>
        <w:t xml:space="preserve">]n the context of allegedly misleading titles using a celebrity’s name, that balance will normally not support application of the Act unless [1] the title has no artistic relevance to the underlying work whatsoever, or, [2] if it has some artistic relevance, unless the title explicitly misleads as to the source or the content of the work.” </w:t>
      </w:r>
      <w:r w:rsidR="00262080" w:rsidRPr="00262080">
        <w:rPr>
          <w:i/>
          <w:iCs/>
          <w:sz w:val="20"/>
        </w:rPr>
        <w:t>Id.</w:t>
      </w:r>
    </w:p>
    <w:p w:rsidR="00262080" w:rsidRPr="00262080" w:rsidRDefault="006A2B5B" w:rsidP="00262080">
      <w:pPr>
        <w:rPr>
          <w:sz w:val="20"/>
        </w:rPr>
      </w:pPr>
      <w:r w:rsidRPr="007E2B51">
        <w:rPr>
          <w:color w:val="808080"/>
          <w:sz w:val="20"/>
        </w:rPr>
        <w:lastRenderedPageBreak/>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20</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 xml:space="preserve">With respect to artistic relevance, the Second Circuit found that the names “Ginger” and “Fred” were “not arbitrarily chosen just to exploit the publicity value of their real life counterparts” but had “genuine relevance to the film’s story.” </w:t>
      </w:r>
      <w:r w:rsidR="00262080" w:rsidRPr="00262080">
        <w:rPr>
          <w:i/>
          <w:iCs/>
          <w:sz w:val="20"/>
        </w:rPr>
        <w:t>Id.</w:t>
      </w:r>
      <w:r w:rsidR="00262080" w:rsidRPr="00262080">
        <w:rPr>
          <w:sz w:val="20"/>
        </w:rPr>
        <w:t xml:space="preserve"> at 1001. The film’s title was “truthful as to its content” and conveyed “an ironic meaning that [was] relevant to the film’s content.” </w:t>
      </w:r>
      <w:r w:rsidR="00262080" w:rsidRPr="00262080">
        <w:rPr>
          <w:i/>
          <w:iCs/>
          <w:sz w:val="20"/>
        </w:rPr>
        <w:t>Id.</w:t>
      </w:r>
      <w:r w:rsidR="00262080" w:rsidRPr="00262080">
        <w:rPr>
          <w:sz w:val="20"/>
        </w:rPr>
        <w:t xml:space="preserve"> On the second prong of its inquiry, the court held that the title was not explicitly misleading because it “contain[</w:t>
      </w:r>
      <w:proofErr w:type="spellStart"/>
      <w:r w:rsidR="00262080" w:rsidRPr="00262080">
        <w:rPr>
          <w:sz w:val="20"/>
        </w:rPr>
        <w:t>ed</w:t>
      </w:r>
      <w:proofErr w:type="spellEnd"/>
      <w:r w:rsidR="00262080" w:rsidRPr="00262080">
        <w:rPr>
          <w:sz w:val="20"/>
        </w:rPr>
        <w:t xml:space="preserve">] no explicit indication that Rogers endorsed the film or had a role in producing it.” </w:t>
      </w:r>
      <w:r w:rsidR="00262080" w:rsidRPr="00262080">
        <w:rPr>
          <w:i/>
          <w:iCs/>
          <w:sz w:val="20"/>
        </w:rPr>
        <w:t>Id.</w:t>
      </w:r>
      <w:r w:rsidR="00262080" w:rsidRPr="00262080">
        <w:rPr>
          <w:sz w:val="20"/>
        </w:rPr>
        <w:t xml:space="preserve"> Any risk that the title would mislead consumers was “outweighed by the danger that suppressing an artistically relevant though ambiguous title will unduly restrict expression.” </w:t>
      </w:r>
      <w:r w:rsidR="00262080" w:rsidRPr="00262080">
        <w:rPr>
          <w:i/>
          <w:iCs/>
          <w:sz w:val="20"/>
        </w:rPr>
        <w:t>Id</w:t>
      </w:r>
      <w:r w:rsidR="00262080" w:rsidRPr="00262080">
        <w:rPr>
          <w:sz w:val="20"/>
        </w:rPr>
        <w:t xml:space="preserve">. The Second Circuit therefore affirmed summary judgment for the defendant film producers. </w:t>
      </w:r>
      <w:r w:rsidR="00262080" w:rsidRPr="00262080">
        <w:rPr>
          <w:i/>
          <w:iCs/>
          <w:sz w:val="20"/>
        </w:rPr>
        <w:t>Id.</w:t>
      </w:r>
      <w:r w:rsidR="00262080" w:rsidRPr="00262080">
        <w:rPr>
          <w:sz w:val="20"/>
        </w:rPr>
        <w:t xml:space="preserve"> at 1005.</w:t>
      </w:r>
      <w:bookmarkStart w:id="25" w:name="co_anchor_I9f0407d19f7d11e89ae3971b6d5ad"/>
      <w:bookmarkEnd w:id="25"/>
    </w:p>
    <w:p w:rsidR="00262080" w:rsidRPr="00262080" w:rsidRDefault="00262080" w:rsidP="00850696">
      <w:pPr>
        <w:pStyle w:val="Centered"/>
      </w:pPr>
      <w:r w:rsidRPr="00262080">
        <w:t>B</w:t>
      </w:r>
    </w:p>
    <w:p w:rsidR="00262080" w:rsidRPr="00262080" w:rsidRDefault="006A2B5B" w:rsidP="00262080">
      <w:pPr>
        <w:rPr>
          <w:sz w:val="20"/>
        </w:rPr>
      </w:pPr>
      <w:bookmarkStart w:id="26" w:name="co_pp_sp_999_6_1"/>
      <w:bookmarkEnd w:id="26"/>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21</w:t>
      </w:r>
      <w:r w:rsidRPr="007E2B51">
        <w:rPr>
          <w:color w:val="808080"/>
          <w:sz w:val="20"/>
        </w:rPr>
        <w:fldChar w:fldCharType="end"/>
      </w:r>
      <w:r w:rsidRPr="007E2B51">
        <w:rPr>
          <w:color w:val="808080"/>
          <w:sz w:val="20"/>
        </w:rPr>
        <w:t>]</w:t>
      </w:r>
      <w:r w:rsidRPr="007E2B51">
        <w:rPr>
          <w:sz w:val="20"/>
        </w:rPr>
        <w:t xml:space="preserve"> </w:t>
      </w:r>
      <w:r w:rsidR="00850696">
        <w:rPr>
          <w:sz w:val="20"/>
        </w:rPr>
        <w:t>W</w:t>
      </w:r>
      <w:r w:rsidR="00262080" w:rsidRPr="00262080">
        <w:rPr>
          <w:sz w:val="20"/>
        </w:rPr>
        <w:t xml:space="preserve">e first employed the </w:t>
      </w:r>
      <w:r w:rsidR="00262080" w:rsidRPr="00262080">
        <w:rPr>
          <w:i/>
          <w:iCs/>
          <w:sz w:val="20"/>
        </w:rPr>
        <w:t>Rogers</w:t>
      </w:r>
      <w:r w:rsidR="00262080" w:rsidRPr="00262080">
        <w:rPr>
          <w:sz w:val="20"/>
        </w:rPr>
        <w:t xml:space="preserve"> test in </w:t>
      </w:r>
      <w:r w:rsidR="00262080" w:rsidRPr="00262080">
        <w:rPr>
          <w:i/>
          <w:iCs/>
          <w:sz w:val="20"/>
        </w:rPr>
        <w:t>MCA Records</w:t>
      </w:r>
      <w:r w:rsidR="00262080" w:rsidRPr="00262080">
        <w:rPr>
          <w:sz w:val="20"/>
        </w:rPr>
        <w:t xml:space="preserve">, 296 F.3d 894, which concerned the song “Barbie Girl” by the Danish band Aqua. The song—which lampooned the values and lifestyle that the songwriter associated with Barbie dolls—involved one band-member impersonating Barbie and singing in a high-pitched, doll-like voice. </w:t>
      </w:r>
      <w:r w:rsidR="00262080" w:rsidRPr="00262080">
        <w:rPr>
          <w:i/>
          <w:iCs/>
          <w:sz w:val="20"/>
        </w:rPr>
        <w:t>Id.</w:t>
      </w:r>
      <w:r w:rsidR="00262080" w:rsidRPr="00262080">
        <w:rPr>
          <w:sz w:val="20"/>
        </w:rPr>
        <w:t xml:space="preserve"> at 899. Mattel, the manufacturer of Barbie dolls, sued the producers and distributors of “Barbie Girl” for infringement under the Lanham Act, and the district court granted summary judgment for the defendants. </w:t>
      </w:r>
      <w:r w:rsidR="00262080" w:rsidRPr="00262080">
        <w:rPr>
          <w:i/>
          <w:iCs/>
          <w:sz w:val="20"/>
        </w:rPr>
        <w:t>Id.</w:t>
      </w:r>
      <w:r w:rsidR="00262080" w:rsidRPr="00262080">
        <w:rPr>
          <w:sz w:val="20"/>
        </w:rPr>
        <w:t xml:space="preserve"> Applying the </w:t>
      </w:r>
      <w:r w:rsidR="00262080" w:rsidRPr="00262080">
        <w:rPr>
          <w:i/>
          <w:iCs/>
          <w:sz w:val="20"/>
        </w:rPr>
        <w:t>Rogers</w:t>
      </w:r>
      <w:r w:rsidR="00262080" w:rsidRPr="00262080">
        <w:rPr>
          <w:sz w:val="20"/>
        </w:rPr>
        <w:t xml:space="preserve"> test, we affirmed. </w:t>
      </w:r>
      <w:r w:rsidR="00262080" w:rsidRPr="00262080">
        <w:rPr>
          <w:i/>
          <w:iCs/>
          <w:sz w:val="20"/>
        </w:rPr>
        <w:t>Id.</w:t>
      </w:r>
      <w:r w:rsidR="00262080" w:rsidRPr="00262080">
        <w:rPr>
          <w:sz w:val="20"/>
        </w:rPr>
        <w:t xml:space="preserve"> at 902. We held that the use of the Barbie mark in the song’s title was artistically relevant to the underlying work because the song was “about Barbie and the values Aqua claims she represents.” </w:t>
      </w:r>
      <w:r w:rsidR="00262080" w:rsidRPr="00262080">
        <w:rPr>
          <w:i/>
          <w:iCs/>
          <w:sz w:val="20"/>
        </w:rPr>
        <w:t>Id.</w:t>
      </w:r>
      <w:r w:rsidR="00262080" w:rsidRPr="00262080">
        <w:rPr>
          <w:sz w:val="20"/>
        </w:rPr>
        <w:t xml:space="preserve"> In addition, the song “d[id] not, explicitly or otherwise, suggest that it was produced by Mattel.” </w:t>
      </w:r>
      <w:r w:rsidR="00262080" w:rsidRPr="00262080">
        <w:rPr>
          <w:i/>
          <w:iCs/>
          <w:sz w:val="20"/>
        </w:rPr>
        <w:t>Id.</w:t>
      </w:r>
      <w:r w:rsidR="00262080" w:rsidRPr="00262080">
        <w:rPr>
          <w:sz w:val="20"/>
        </w:rPr>
        <w:t xml:space="preserve"> “The </w:t>
      </w:r>
      <w:r w:rsidR="00262080" w:rsidRPr="00262080">
        <w:rPr>
          <w:i/>
          <w:iCs/>
          <w:sz w:val="20"/>
        </w:rPr>
        <w:t>only</w:t>
      </w:r>
      <w:r w:rsidR="00262080" w:rsidRPr="00262080">
        <w:rPr>
          <w:sz w:val="20"/>
        </w:rPr>
        <w:t xml:space="preserve"> indication that Mattel might be associated with the song [was] the use of Barbie in the title,” and if the use of the mark alone were enough to satisfy </w:t>
      </w:r>
      <w:r w:rsidR="00262080" w:rsidRPr="00262080">
        <w:rPr>
          <w:i/>
          <w:iCs/>
          <w:sz w:val="20"/>
        </w:rPr>
        <w:t>Rogers</w:t>
      </w:r>
      <w:r w:rsidR="00262080" w:rsidRPr="00262080">
        <w:rPr>
          <w:sz w:val="20"/>
        </w:rPr>
        <w:t xml:space="preserve">’s second prong, “it would render </w:t>
      </w:r>
      <w:r w:rsidR="00262080" w:rsidRPr="00262080">
        <w:rPr>
          <w:i/>
          <w:iCs/>
          <w:sz w:val="20"/>
        </w:rPr>
        <w:t>Rogers</w:t>
      </w:r>
      <w:r w:rsidR="00262080" w:rsidRPr="00262080">
        <w:rPr>
          <w:sz w:val="20"/>
        </w:rPr>
        <w:t xml:space="preserve"> a nullity.” </w:t>
      </w:r>
      <w:r w:rsidR="00262080" w:rsidRPr="00262080">
        <w:rPr>
          <w:i/>
          <w:iCs/>
          <w:sz w:val="20"/>
        </w:rPr>
        <w:t>Id.</w:t>
      </w:r>
      <w:r w:rsidR="00262080" w:rsidRPr="00262080">
        <w:rPr>
          <w:sz w:val="20"/>
        </w:rPr>
        <w:t xml:space="preserve"> Because the Barbie mark was artistically relevant to the song and not explicitly misleading, we concluded that the band could not be held liable for infringement.</w:t>
      </w:r>
    </w:p>
    <w:p w:rsidR="00262080" w:rsidRPr="00262080" w:rsidRDefault="006A2B5B" w:rsidP="00262080">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22</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 xml:space="preserve">We applied the </w:t>
      </w:r>
      <w:r w:rsidR="00262080" w:rsidRPr="00262080">
        <w:rPr>
          <w:i/>
          <w:iCs/>
          <w:sz w:val="20"/>
        </w:rPr>
        <w:t>Rogers</w:t>
      </w:r>
      <w:r w:rsidR="00262080" w:rsidRPr="00262080">
        <w:rPr>
          <w:sz w:val="20"/>
        </w:rPr>
        <w:t xml:space="preserve"> test to another suit involving Barbie in </w:t>
      </w:r>
      <w:r w:rsidR="00262080" w:rsidRPr="00262080">
        <w:rPr>
          <w:i/>
          <w:iCs/>
          <w:sz w:val="20"/>
        </w:rPr>
        <w:t>Walking Mountain Prods.</w:t>
      </w:r>
      <w:r w:rsidR="00262080" w:rsidRPr="00262080">
        <w:rPr>
          <w:sz w:val="20"/>
        </w:rPr>
        <w:t xml:space="preserve">, 353 F.3d 792. There, photographer Thomas Forsythe developed a series of photographs titled “Food Chain Barbie” depicting Barbie dolls or parts of Barbie dolls in absurd positions, often involving kitchen appliances. </w:t>
      </w:r>
      <w:r w:rsidR="00262080" w:rsidRPr="00262080">
        <w:rPr>
          <w:i/>
          <w:iCs/>
          <w:sz w:val="20"/>
        </w:rPr>
        <w:t>Id.</w:t>
      </w:r>
      <w:r w:rsidR="00262080" w:rsidRPr="00262080">
        <w:rPr>
          <w:sz w:val="20"/>
        </w:rPr>
        <w:t xml:space="preserve"> at 796. Forsythe described the photographs as critiquing “the objectification of women associated with [Barbie].” </w:t>
      </w:r>
      <w:r w:rsidR="00262080" w:rsidRPr="00262080">
        <w:rPr>
          <w:i/>
          <w:iCs/>
          <w:sz w:val="20"/>
        </w:rPr>
        <w:t>Id.</w:t>
      </w:r>
      <w:r w:rsidR="00262080" w:rsidRPr="00262080">
        <w:rPr>
          <w:sz w:val="20"/>
        </w:rPr>
        <w:t xml:space="preserve"> Mattel claimed that the photos infringed its trademark and trade dress, but we affirmed summary judgment for Forsythe because “[a]</w:t>
      </w:r>
      <w:proofErr w:type="spellStart"/>
      <w:r w:rsidR="00262080" w:rsidRPr="00262080">
        <w:rPr>
          <w:sz w:val="20"/>
        </w:rPr>
        <w:t>pplication</w:t>
      </w:r>
      <w:proofErr w:type="spellEnd"/>
      <w:r w:rsidR="00262080" w:rsidRPr="00262080">
        <w:rPr>
          <w:sz w:val="20"/>
        </w:rPr>
        <w:t xml:space="preserve"> of the </w:t>
      </w:r>
      <w:r w:rsidR="00262080" w:rsidRPr="00262080">
        <w:rPr>
          <w:i/>
          <w:iCs/>
          <w:sz w:val="20"/>
        </w:rPr>
        <w:t>Rogers</w:t>
      </w:r>
      <w:r w:rsidR="00262080" w:rsidRPr="00262080">
        <w:rPr>
          <w:sz w:val="20"/>
        </w:rPr>
        <w:t xml:space="preserve"> test here leads to the same result as it did in </w:t>
      </w:r>
      <w:r w:rsidR="00262080" w:rsidRPr="00262080">
        <w:rPr>
          <w:i/>
          <w:iCs/>
          <w:sz w:val="20"/>
        </w:rPr>
        <w:t>MCA</w:t>
      </w:r>
      <w:r w:rsidR="00262080" w:rsidRPr="00262080">
        <w:rPr>
          <w:sz w:val="20"/>
        </w:rPr>
        <w:t xml:space="preserve">.” </w:t>
      </w:r>
      <w:r w:rsidR="00262080" w:rsidRPr="00262080">
        <w:rPr>
          <w:i/>
          <w:iCs/>
          <w:sz w:val="20"/>
        </w:rPr>
        <w:t>Id.</w:t>
      </w:r>
      <w:r w:rsidR="00262080" w:rsidRPr="00262080">
        <w:rPr>
          <w:sz w:val="20"/>
        </w:rPr>
        <w:t xml:space="preserve"> at 807. Forsythe’s use of the Barbie mark was artistically relevant to his work because his photographs depicted Barbie and targeted the doll with a parodic message. </w:t>
      </w:r>
      <w:r w:rsidR="00262080" w:rsidRPr="00262080">
        <w:rPr>
          <w:i/>
          <w:iCs/>
          <w:sz w:val="20"/>
        </w:rPr>
        <w:t>Id.</w:t>
      </w:r>
      <w:r w:rsidR="00262080" w:rsidRPr="00262080">
        <w:rPr>
          <w:sz w:val="20"/>
        </w:rPr>
        <w:t xml:space="preserve"> Moreover, apart from Forsythe’s use of the mark, there was no indication that Mattel in any way </w:t>
      </w:r>
      <w:r w:rsidR="00FE58A6">
        <w:rPr>
          <w:sz w:val="20"/>
        </w:rPr>
        <w:t xml:space="preserve">created or </w:t>
      </w:r>
      <w:r w:rsidR="00262080" w:rsidRPr="00262080">
        <w:rPr>
          <w:sz w:val="20"/>
        </w:rPr>
        <w:t xml:space="preserve">sponsored the photographs. </w:t>
      </w:r>
      <w:r w:rsidR="00262080" w:rsidRPr="00262080">
        <w:rPr>
          <w:i/>
          <w:iCs/>
          <w:sz w:val="20"/>
        </w:rPr>
        <w:t>Id.</w:t>
      </w:r>
    </w:p>
    <w:p w:rsidR="00850696" w:rsidRDefault="006A2B5B" w:rsidP="00262080">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23</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 xml:space="preserve">Most recently, we applied the </w:t>
      </w:r>
      <w:r w:rsidR="00262080" w:rsidRPr="00262080">
        <w:rPr>
          <w:i/>
          <w:iCs/>
          <w:sz w:val="20"/>
        </w:rPr>
        <w:t>Rogers</w:t>
      </w:r>
      <w:r w:rsidR="00262080" w:rsidRPr="00262080">
        <w:rPr>
          <w:sz w:val="20"/>
        </w:rPr>
        <w:t xml:space="preserve"> test in </w:t>
      </w:r>
      <w:r w:rsidR="00262080" w:rsidRPr="00262080">
        <w:rPr>
          <w:i/>
          <w:iCs/>
          <w:sz w:val="20"/>
        </w:rPr>
        <w:t>Twentieth Century Fox Television</w:t>
      </w:r>
      <w:r w:rsidR="00262080" w:rsidRPr="00262080">
        <w:rPr>
          <w:sz w:val="20"/>
        </w:rPr>
        <w:t xml:space="preserve">, 875 F.3d 1192. Twentieth Century Fox produced the television show </w:t>
      </w:r>
      <w:r w:rsidR="00262080" w:rsidRPr="00262080">
        <w:rPr>
          <w:i/>
          <w:iCs/>
          <w:sz w:val="20"/>
        </w:rPr>
        <w:t>Empire</w:t>
      </w:r>
      <w:r w:rsidR="00262080" w:rsidRPr="00262080">
        <w:rPr>
          <w:sz w:val="20"/>
        </w:rPr>
        <w:t xml:space="preserve">, which revolved around a fictional hip-hop record label named “Empire Enterprises.” </w:t>
      </w:r>
      <w:r w:rsidR="00262080" w:rsidRPr="00262080">
        <w:rPr>
          <w:i/>
          <w:iCs/>
          <w:sz w:val="20"/>
        </w:rPr>
        <w:t>Id.</w:t>
      </w:r>
      <w:r w:rsidR="00262080" w:rsidRPr="00262080">
        <w:rPr>
          <w:sz w:val="20"/>
        </w:rPr>
        <w:t xml:space="preserve"> at 1195. Empire Distribution, an actual hip-hop record label, sent Twentieth Century Fox a cease-and-desist letter, and Twentieth Century Fox sued for a declaratory judgment that its show did not violate Empire’s trademark rights. </w:t>
      </w:r>
      <w:r w:rsidR="00262080" w:rsidRPr="00262080">
        <w:rPr>
          <w:i/>
          <w:iCs/>
          <w:sz w:val="20"/>
        </w:rPr>
        <w:t>Id.</w:t>
      </w:r>
      <w:r w:rsidR="00262080" w:rsidRPr="00262080">
        <w:rPr>
          <w:sz w:val="20"/>
        </w:rPr>
        <w:t xml:space="preserve"> In affirming summary judgment for Twentieth Century Fox, we rejected Empire’s argument that “the </w:t>
      </w:r>
      <w:r w:rsidR="00262080" w:rsidRPr="00262080">
        <w:rPr>
          <w:i/>
          <w:iCs/>
          <w:sz w:val="20"/>
        </w:rPr>
        <w:t>Rogers</w:t>
      </w:r>
      <w:r w:rsidR="00262080" w:rsidRPr="00262080">
        <w:rPr>
          <w:sz w:val="20"/>
        </w:rPr>
        <w:t xml:space="preserve"> test includes a threshold requirement that a mark have attained a meaning beyond its source-identifying function.”</w:t>
      </w:r>
      <w:bookmarkStart w:id="27" w:name="co_footnoteReference_B00082045151019_ID0"/>
      <w:bookmarkEnd w:id="27"/>
      <w:r w:rsidR="00DA472C">
        <w:rPr>
          <w:rStyle w:val="FootnoteReference"/>
          <w:sz w:val="20"/>
        </w:rPr>
        <w:footnoteReference w:customMarkFollows="1" w:id="5"/>
        <w:t>9</w:t>
      </w:r>
      <w:r w:rsidR="00262080" w:rsidRPr="00262080">
        <w:rPr>
          <w:sz w:val="20"/>
        </w:rPr>
        <w:t xml:space="preserve"> </w:t>
      </w:r>
      <w:r w:rsidR="00262080" w:rsidRPr="00262080">
        <w:rPr>
          <w:i/>
          <w:iCs/>
          <w:sz w:val="20"/>
        </w:rPr>
        <w:t>Id.</w:t>
      </w:r>
      <w:r w:rsidR="00262080" w:rsidRPr="00262080">
        <w:rPr>
          <w:sz w:val="20"/>
        </w:rPr>
        <w:t xml:space="preserve"> at 1197. Whether a mark </w:t>
      </w:r>
      <w:r w:rsidR="00262080" w:rsidRPr="00262080">
        <w:rPr>
          <w:sz w:val="20"/>
        </w:rPr>
        <w:lastRenderedPageBreak/>
        <w:t xml:space="preserve">conveys a meaning beyond identifying a product’s source is not a threshold requirement but only a relevant consideration: “trademarks that transcend their identifying purpose are more likely to be used in artistically relevant ways,” but such transcendence is not necessary to trigger First Amendment protection. </w:t>
      </w:r>
      <w:r w:rsidR="00262080" w:rsidRPr="00262080">
        <w:rPr>
          <w:i/>
          <w:iCs/>
          <w:sz w:val="20"/>
        </w:rPr>
        <w:t>Id.</w:t>
      </w:r>
      <w:r w:rsidR="00262080" w:rsidRPr="00262080">
        <w:rPr>
          <w:sz w:val="20"/>
        </w:rPr>
        <w:t xml:space="preserve"> at 1198 (quotation marks and citation omitted).</w:t>
      </w:r>
    </w:p>
    <w:p w:rsidR="00262080" w:rsidRPr="00262080" w:rsidRDefault="006A2B5B" w:rsidP="00262080">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24</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 xml:space="preserve">We concluded that Empire could not satisfy </w:t>
      </w:r>
      <w:r w:rsidR="00262080" w:rsidRPr="00262080">
        <w:rPr>
          <w:i/>
          <w:iCs/>
          <w:sz w:val="20"/>
        </w:rPr>
        <w:t>Rogers</w:t>
      </w:r>
      <w:r w:rsidR="00262080" w:rsidRPr="00262080">
        <w:rPr>
          <w:sz w:val="20"/>
        </w:rPr>
        <w:t xml:space="preserve">’s first prong because Twentieth Century Fox “used the common English word ‘Empire’ for artistically relevant reasons,” namely, that the show’s setting was New York (the Empire State) and its subject matter was an entertainment conglomerate (a figurative empire). </w:t>
      </w:r>
      <w:r w:rsidR="00262080" w:rsidRPr="00262080">
        <w:rPr>
          <w:i/>
          <w:iCs/>
          <w:sz w:val="20"/>
        </w:rPr>
        <w:t>Id.</w:t>
      </w:r>
      <w:r w:rsidR="00262080" w:rsidRPr="00262080">
        <w:rPr>
          <w:sz w:val="20"/>
        </w:rPr>
        <w:t xml:space="preserve"> Finally, we resisted Empire’s efforts to conflate the likelihood-of-confusion test with </w:t>
      </w:r>
      <w:r w:rsidR="00262080" w:rsidRPr="00262080">
        <w:rPr>
          <w:i/>
          <w:iCs/>
          <w:sz w:val="20"/>
        </w:rPr>
        <w:t>Rogers</w:t>
      </w:r>
      <w:r w:rsidR="00262080" w:rsidRPr="00262080">
        <w:rPr>
          <w:sz w:val="20"/>
        </w:rPr>
        <w:t>’s second prong. To satisfy that prong, it is not enough to show that “the defendant’s use of the mark would confuse consumers as to the source, sponsorship or content of the work;” rather, the plaintiff must show that the defendant</w:t>
      </w:r>
      <w:r w:rsidR="00FE58A6">
        <w:rPr>
          <w:sz w:val="20"/>
        </w:rPr>
        <w:t>’s use</w:t>
      </w:r>
      <w:r w:rsidR="00262080" w:rsidRPr="00262080">
        <w:rPr>
          <w:sz w:val="20"/>
        </w:rPr>
        <w:t xml:space="preserve"> “</w:t>
      </w:r>
      <w:r w:rsidR="00262080" w:rsidRPr="00262080">
        <w:rPr>
          <w:i/>
          <w:iCs/>
          <w:sz w:val="20"/>
        </w:rPr>
        <w:t>explicitly</w:t>
      </w:r>
      <w:r w:rsidR="00262080" w:rsidRPr="00262080">
        <w:rPr>
          <w:sz w:val="20"/>
        </w:rPr>
        <w:t xml:space="preserve"> </w:t>
      </w:r>
      <w:proofErr w:type="spellStart"/>
      <w:r w:rsidR="00262080" w:rsidRPr="00262080">
        <w:rPr>
          <w:sz w:val="20"/>
        </w:rPr>
        <w:t>misl</w:t>
      </w:r>
      <w:proofErr w:type="spellEnd"/>
      <w:r w:rsidR="00262080" w:rsidRPr="00262080">
        <w:rPr>
          <w:sz w:val="20"/>
        </w:rPr>
        <w:t>[</w:t>
      </w:r>
      <w:proofErr w:type="spellStart"/>
      <w:r w:rsidR="00262080" w:rsidRPr="00262080">
        <w:rPr>
          <w:sz w:val="20"/>
        </w:rPr>
        <w:t>ed</w:t>
      </w:r>
      <w:proofErr w:type="spellEnd"/>
      <w:r w:rsidR="00262080" w:rsidRPr="00262080">
        <w:rPr>
          <w:sz w:val="20"/>
        </w:rPr>
        <w:t xml:space="preserve">] consumers.” </w:t>
      </w:r>
      <w:r w:rsidR="00262080" w:rsidRPr="00262080">
        <w:rPr>
          <w:i/>
          <w:iCs/>
          <w:sz w:val="20"/>
        </w:rPr>
        <w:t>Id.</w:t>
      </w:r>
      <w:r w:rsidR="00262080" w:rsidRPr="00262080">
        <w:rPr>
          <w:sz w:val="20"/>
        </w:rPr>
        <w:t xml:space="preserve"> at 1199. Because Twentieth Century Fox’s </w:t>
      </w:r>
      <w:r w:rsidR="00262080" w:rsidRPr="00262080">
        <w:rPr>
          <w:i/>
          <w:iCs/>
          <w:sz w:val="20"/>
        </w:rPr>
        <w:t>Empire</w:t>
      </w:r>
      <w:r w:rsidR="00262080" w:rsidRPr="00262080">
        <w:rPr>
          <w:sz w:val="20"/>
        </w:rPr>
        <w:t xml:space="preserve"> show contained “no overt claims or explicit references to Empire Distribution,” we found that Empire could not satisfy </w:t>
      </w:r>
      <w:r w:rsidR="00262080" w:rsidRPr="00262080">
        <w:rPr>
          <w:i/>
          <w:iCs/>
          <w:sz w:val="20"/>
        </w:rPr>
        <w:t>Rogers</w:t>
      </w:r>
      <w:r w:rsidR="00262080" w:rsidRPr="00262080">
        <w:rPr>
          <w:sz w:val="20"/>
        </w:rPr>
        <w:t xml:space="preserve">’s second prong. </w:t>
      </w:r>
      <w:r w:rsidR="00262080" w:rsidRPr="00262080">
        <w:rPr>
          <w:i/>
          <w:iCs/>
          <w:sz w:val="20"/>
        </w:rPr>
        <w:t>Id.</w:t>
      </w:r>
      <w:r w:rsidR="00262080" w:rsidRPr="00262080">
        <w:rPr>
          <w:sz w:val="20"/>
        </w:rPr>
        <w:t xml:space="preserve"> Empire’s inability to satisfy either of </w:t>
      </w:r>
      <w:r w:rsidR="00262080" w:rsidRPr="00262080">
        <w:rPr>
          <w:i/>
          <w:iCs/>
          <w:sz w:val="20"/>
        </w:rPr>
        <w:t>Rogers</w:t>
      </w:r>
      <w:r w:rsidR="00262080" w:rsidRPr="00262080">
        <w:rPr>
          <w:sz w:val="20"/>
        </w:rPr>
        <w:t>’s two prongs meant that it could not prevail on its infringement claim.</w:t>
      </w:r>
    </w:p>
    <w:p w:rsidR="00262080" w:rsidRPr="00262080" w:rsidRDefault="00262080" w:rsidP="00850696">
      <w:pPr>
        <w:pStyle w:val="Centered"/>
      </w:pPr>
      <w:bookmarkStart w:id="28" w:name="co_anchor_I9f0ba8f19f7d11e89ae3971b6d5ad"/>
      <w:bookmarkEnd w:id="28"/>
      <w:r w:rsidRPr="00262080">
        <w:t>C</w:t>
      </w:r>
    </w:p>
    <w:p w:rsidR="00262080" w:rsidRPr="00262080" w:rsidRDefault="006A2B5B" w:rsidP="00262080">
      <w:pPr>
        <w:rPr>
          <w:sz w:val="20"/>
        </w:rPr>
      </w:pPr>
      <w:bookmarkStart w:id="29" w:name="co_pp_sp_999_7_1"/>
      <w:bookmarkEnd w:id="29"/>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25</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 xml:space="preserve">We first extended the </w:t>
      </w:r>
      <w:r w:rsidR="00262080" w:rsidRPr="00262080">
        <w:rPr>
          <w:i/>
          <w:iCs/>
          <w:sz w:val="20"/>
        </w:rPr>
        <w:t>Rogers</w:t>
      </w:r>
      <w:r w:rsidR="00262080" w:rsidRPr="00262080">
        <w:rPr>
          <w:sz w:val="20"/>
        </w:rPr>
        <w:t xml:space="preserve"> test beyond a title in </w:t>
      </w:r>
      <w:proofErr w:type="spellStart"/>
      <w:r w:rsidR="00262080" w:rsidRPr="00262080">
        <w:rPr>
          <w:i/>
          <w:iCs/>
          <w:sz w:val="20"/>
        </w:rPr>
        <w:t>E.S.S</w:t>
      </w:r>
      <w:proofErr w:type="spellEnd"/>
      <w:r w:rsidR="00262080" w:rsidRPr="00262080">
        <w:rPr>
          <w:i/>
          <w:iCs/>
          <w:sz w:val="20"/>
        </w:rPr>
        <w:t xml:space="preserve">. </w:t>
      </w:r>
      <w:proofErr w:type="spellStart"/>
      <w:r w:rsidR="00262080" w:rsidRPr="00262080">
        <w:rPr>
          <w:i/>
          <w:iCs/>
          <w:sz w:val="20"/>
        </w:rPr>
        <w:t>Ent’mt</w:t>
      </w:r>
      <w:proofErr w:type="spellEnd"/>
      <w:r w:rsidR="00262080" w:rsidRPr="00262080">
        <w:rPr>
          <w:i/>
          <w:iCs/>
          <w:sz w:val="20"/>
        </w:rPr>
        <w:t xml:space="preserve"> 2000, Inc. v. Rock Star Videos, Inc.</w:t>
      </w:r>
      <w:r w:rsidR="00262080" w:rsidRPr="00262080">
        <w:rPr>
          <w:sz w:val="20"/>
        </w:rPr>
        <w:t xml:space="preserve">, 547 F.3d 1095, 1099 (9th Cir. 2008). In that case, defendant </w:t>
      </w:r>
      <w:proofErr w:type="spellStart"/>
      <w:r w:rsidR="00262080" w:rsidRPr="00262080">
        <w:rPr>
          <w:sz w:val="20"/>
        </w:rPr>
        <w:t>Rockstar</w:t>
      </w:r>
      <w:proofErr w:type="spellEnd"/>
      <w:r w:rsidR="00262080" w:rsidRPr="00262080">
        <w:rPr>
          <w:sz w:val="20"/>
        </w:rPr>
        <w:t xml:space="preserve"> Games manufactured and distributed the video game </w:t>
      </w:r>
      <w:r w:rsidR="00262080" w:rsidRPr="00262080">
        <w:rPr>
          <w:i/>
          <w:iCs/>
          <w:sz w:val="20"/>
        </w:rPr>
        <w:t>Grand Theft Auto: San Andreas</w:t>
      </w:r>
      <w:r w:rsidR="00262080" w:rsidRPr="00262080">
        <w:rPr>
          <w:sz w:val="20"/>
        </w:rPr>
        <w:t xml:space="preserve">, which took place in a fictionalized version of Los Angeles. </w:t>
      </w:r>
      <w:r w:rsidR="00262080" w:rsidRPr="00262080">
        <w:rPr>
          <w:i/>
          <w:iCs/>
          <w:sz w:val="20"/>
        </w:rPr>
        <w:t>Id.</w:t>
      </w:r>
      <w:r w:rsidR="00262080" w:rsidRPr="00262080">
        <w:rPr>
          <w:sz w:val="20"/>
        </w:rPr>
        <w:t xml:space="preserve"> at 1096–97. One of the game’s neighborhoods—East Los Santos—“lampooned the seedy underbelly” of East Los Angeles by mimicking its businesses and architecture. </w:t>
      </w:r>
      <w:r w:rsidR="00262080" w:rsidRPr="00262080">
        <w:rPr>
          <w:i/>
          <w:iCs/>
          <w:sz w:val="20"/>
        </w:rPr>
        <w:t>Id.</w:t>
      </w:r>
      <w:r w:rsidR="00262080" w:rsidRPr="00262080">
        <w:rPr>
          <w:sz w:val="20"/>
        </w:rPr>
        <w:t xml:space="preserve"> at 1097. The fictional East Los Santos included a virtual strip club called the “Pig Pen.” </w:t>
      </w:r>
      <w:r w:rsidR="00262080" w:rsidRPr="00262080">
        <w:rPr>
          <w:i/>
          <w:iCs/>
          <w:sz w:val="20"/>
        </w:rPr>
        <w:t>Id.</w:t>
      </w:r>
      <w:r w:rsidR="00262080" w:rsidRPr="00262080">
        <w:rPr>
          <w:sz w:val="20"/>
        </w:rPr>
        <w:t xml:space="preserve"> </w:t>
      </w:r>
      <w:proofErr w:type="spellStart"/>
      <w:r w:rsidR="00262080" w:rsidRPr="00262080">
        <w:rPr>
          <w:sz w:val="20"/>
        </w:rPr>
        <w:t>ESS</w:t>
      </w:r>
      <w:proofErr w:type="spellEnd"/>
      <w:r w:rsidR="00262080" w:rsidRPr="00262080">
        <w:rPr>
          <w:sz w:val="20"/>
        </w:rPr>
        <w:t xml:space="preserve"> Entertainment 2000, which operates the Play Pen Gentlemen’s Club in the real East Los Angeles, claimed that </w:t>
      </w:r>
      <w:proofErr w:type="spellStart"/>
      <w:r w:rsidR="00262080" w:rsidRPr="00262080">
        <w:rPr>
          <w:sz w:val="20"/>
        </w:rPr>
        <w:t>Rockstar’s</w:t>
      </w:r>
      <w:proofErr w:type="spellEnd"/>
      <w:r w:rsidR="00262080" w:rsidRPr="00262080">
        <w:rPr>
          <w:sz w:val="20"/>
        </w:rPr>
        <w:t xml:space="preserve"> depiction of the Pig Pen infringed its trademark and trade dress. </w:t>
      </w:r>
      <w:r w:rsidR="00262080" w:rsidRPr="00262080">
        <w:rPr>
          <w:i/>
          <w:iCs/>
          <w:sz w:val="20"/>
        </w:rPr>
        <w:t>Id.</w:t>
      </w:r>
    </w:p>
    <w:p w:rsidR="00262080" w:rsidRPr="00262080" w:rsidRDefault="006A2B5B" w:rsidP="00262080">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26</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 xml:space="preserve">We recognized that the </w:t>
      </w:r>
      <w:r w:rsidR="00262080" w:rsidRPr="00262080">
        <w:rPr>
          <w:i/>
          <w:iCs/>
          <w:sz w:val="20"/>
        </w:rPr>
        <w:t>Rogers</w:t>
      </w:r>
      <w:r w:rsidR="00262080" w:rsidRPr="00262080">
        <w:rPr>
          <w:sz w:val="20"/>
        </w:rPr>
        <w:t xml:space="preserve"> test was developed in a case involving a title, and adopted by our court in a similar case, but we could find “no principled reason why it ought not also apply to the use of a trademark in the body of the work.” </w:t>
      </w:r>
      <w:r w:rsidR="00262080" w:rsidRPr="00262080">
        <w:rPr>
          <w:i/>
          <w:iCs/>
          <w:sz w:val="20"/>
        </w:rPr>
        <w:t>Id.</w:t>
      </w:r>
      <w:r w:rsidR="00262080" w:rsidRPr="00262080">
        <w:rPr>
          <w:sz w:val="20"/>
        </w:rPr>
        <w:t xml:space="preserve"> at 1099. With respect to </w:t>
      </w:r>
      <w:r w:rsidR="00262080" w:rsidRPr="00262080">
        <w:rPr>
          <w:i/>
          <w:iCs/>
          <w:sz w:val="20"/>
        </w:rPr>
        <w:t>Rogers</w:t>
      </w:r>
      <w:r w:rsidR="00262080" w:rsidRPr="00262080">
        <w:rPr>
          <w:sz w:val="20"/>
        </w:rPr>
        <w:t xml:space="preserve">’s first prong, we explained that “[t]he level of relevance merely must be above zero” and the Pig Pen met this threshold by being relevant to </w:t>
      </w:r>
      <w:proofErr w:type="spellStart"/>
      <w:r w:rsidR="00262080" w:rsidRPr="00262080">
        <w:rPr>
          <w:sz w:val="20"/>
        </w:rPr>
        <w:t>Rockstar’s</w:t>
      </w:r>
      <w:proofErr w:type="spellEnd"/>
      <w:r w:rsidR="00262080" w:rsidRPr="00262080">
        <w:rPr>
          <w:sz w:val="20"/>
        </w:rPr>
        <w:t xml:space="preserve"> artistic goal of creating “a cartoon-style parody of East Los Angeles.” </w:t>
      </w:r>
      <w:r w:rsidR="00262080" w:rsidRPr="00262080">
        <w:rPr>
          <w:i/>
          <w:iCs/>
          <w:sz w:val="20"/>
        </w:rPr>
        <w:t>Id.</w:t>
      </w:r>
      <w:r w:rsidR="00262080" w:rsidRPr="00262080">
        <w:rPr>
          <w:sz w:val="20"/>
        </w:rPr>
        <w:t xml:space="preserve"> at 1100. On the second prong, we concluded that the game did not explicitly mislead as to the source of the mark and would not “confuse its players into thinking that the Play Pen is somehow behind the Pig Pen or that it sponsors </w:t>
      </w:r>
      <w:proofErr w:type="spellStart"/>
      <w:r w:rsidR="00262080" w:rsidRPr="00262080">
        <w:rPr>
          <w:sz w:val="20"/>
        </w:rPr>
        <w:t>Rockstar’s</w:t>
      </w:r>
      <w:proofErr w:type="spellEnd"/>
      <w:r w:rsidR="00262080" w:rsidRPr="00262080">
        <w:rPr>
          <w:sz w:val="20"/>
        </w:rPr>
        <w:t xml:space="preserve"> product. ... A reasonable consumer would not think a company that owns one strip club in East Los Angeles ... also produces a technologically sophisticated video game.” </w:t>
      </w:r>
      <w:r w:rsidR="00262080" w:rsidRPr="00262080">
        <w:rPr>
          <w:i/>
          <w:iCs/>
          <w:sz w:val="20"/>
        </w:rPr>
        <w:t>Id.</w:t>
      </w:r>
      <w:r w:rsidR="00262080" w:rsidRPr="00262080">
        <w:rPr>
          <w:sz w:val="20"/>
        </w:rPr>
        <w:t xml:space="preserve"> at 1100–01. Because </w:t>
      </w:r>
      <w:proofErr w:type="spellStart"/>
      <w:r w:rsidR="00262080" w:rsidRPr="00262080">
        <w:rPr>
          <w:sz w:val="20"/>
        </w:rPr>
        <w:t>ESS</w:t>
      </w:r>
      <w:proofErr w:type="spellEnd"/>
      <w:r w:rsidR="00262080" w:rsidRPr="00262080">
        <w:rPr>
          <w:sz w:val="20"/>
        </w:rPr>
        <w:t xml:space="preserve"> Entertainment 2000 could not demonstrate either of </w:t>
      </w:r>
      <w:r w:rsidR="00262080" w:rsidRPr="00262080">
        <w:rPr>
          <w:i/>
          <w:iCs/>
          <w:sz w:val="20"/>
        </w:rPr>
        <w:t>Rogers</w:t>
      </w:r>
      <w:r w:rsidR="00262080" w:rsidRPr="00262080">
        <w:rPr>
          <w:sz w:val="20"/>
        </w:rPr>
        <w:t xml:space="preserve">’s two prongs, we affirmed summary judgment for </w:t>
      </w:r>
      <w:proofErr w:type="spellStart"/>
      <w:r w:rsidR="00262080" w:rsidRPr="00262080">
        <w:rPr>
          <w:sz w:val="20"/>
        </w:rPr>
        <w:t>Rockstar</w:t>
      </w:r>
      <w:proofErr w:type="spellEnd"/>
      <w:r w:rsidR="00262080" w:rsidRPr="00262080">
        <w:rPr>
          <w:sz w:val="20"/>
        </w:rPr>
        <w:t>.</w:t>
      </w:r>
    </w:p>
    <w:p w:rsidR="00262080" w:rsidRPr="00262080" w:rsidRDefault="006A2B5B" w:rsidP="00262080">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27</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 xml:space="preserve">Another video-game case dealt with the </w:t>
      </w:r>
      <w:r w:rsidR="00262080" w:rsidRPr="00262080">
        <w:rPr>
          <w:i/>
          <w:iCs/>
          <w:sz w:val="20"/>
        </w:rPr>
        <w:t>Madden NFL</w:t>
      </w:r>
      <w:r w:rsidR="00262080" w:rsidRPr="00262080">
        <w:rPr>
          <w:sz w:val="20"/>
        </w:rPr>
        <w:t xml:space="preserve"> series produced by Electronic Arts, Inc. (“EA”). </w:t>
      </w:r>
      <w:r w:rsidR="00262080" w:rsidRPr="00262080">
        <w:rPr>
          <w:i/>
          <w:iCs/>
          <w:sz w:val="20"/>
        </w:rPr>
        <w:t>Brown v. Elec. Arts, Inc.</w:t>
      </w:r>
      <w:r w:rsidR="00262080" w:rsidRPr="00262080">
        <w:rPr>
          <w:sz w:val="20"/>
        </w:rPr>
        <w:t xml:space="preserve">, 724 F.3d 1235 (9th Cir. 2013). Legendary football player Jim Brown alleged that EA violated § 43(a) of the Lanham Act by using his likeness in its games. </w:t>
      </w:r>
      <w:r w:rsidR="00262080" w:rsidRPr="00262080">
        <w:rPr>
          <w:i/>
          <w:iCs/>
          <w:sz w:val="20"/>
        </w:rPr>
        <w:t>Id.</w:t>
      </w:r>
      <w:r w:rsidR="00262080" w:rsidRPr="00262080">
        <w:rPr>
          <w:sz w:val="20"/>
        </w:rPr>
        <w:t xml:space="preserve"> at 1238–39. The district court granted EA’s motion to dismiss, and we affirmed. </w:t>
      </w:r>
      <w:r w:rsidR="00262080" w:rsidRPr="00262080">
        <w:rPr>
          <w:i/>
          <w:iCs/>
          <w:sz w:val="20"/>
        </w:rPr>
        <w:t>Id.</w:t>
      </w:r>
      <w:r w:rsidR="00262080" w:rsidRPr="00262080">
        <w:rPr>
          <w:sz w:val="20"/>
        </w:rPr>
        <w:t xml:space="preserve"> at 1239. We reiterated </w:t>
      </w:r>
      <w:proofErr w:type="spellStart"/>
      <w:r w:rsidR="00262080" w:rsidRPr="00262080">
        <w:rPr>
          <w:i/>
          <w:iCs/>
          <w:sz w:val="20"/>
        </w:rPr>
        <w:t>E.S.S.</w:t>
      </w:r>
      <w:r w:rsidR="00262080" w:rsidRPr="00262080">
        <w:rPr>
          <w:sz w:val="20"/>
        </w:rPr>
        <w:t>’s</w:t>
      </w:r>
      <w:proofErr w:type="spellEnd"/>
      <w:r w:rsidR="00262080" w:rsidRPr="00262080">
        <w:rPr>
          <w:sz w:val="20"/>
        </w:rPr>
        <w:t xml:space="preserve"> holding that the level of artistic relevance under </w:t>
      </w:r>
      <w:r w:rsidR="00262080" w:rsidRPr="00262080">
        <w:rPr>
          <w:i/>
          <w:iCs/>
          <w:sz w:val="20"/>
        </w:rPr>
        <w:t>Rogers</w:t>
      </w:r>
      <w:r w:rsidR="00262080" w:rsidRPr="00262080">
        <w:rPr>
          <w:sz w:val="20"/>
        </w:rPr>
        <w:t xml:space="preserve">’s first prong need only exceed zero and found it was “obvious that Brown’s likeness ha[d] at least some artistic relevance to EA’s work.” </w:t>
      </w:r>
      <w:r w:rsidR="00262080" w:rsidRPr="00262080">
        <w:rPr>
          <w:i/>
          <w:iCs/>
          <w:sz w:val="20"/>
        </w:rPr>
        <w:t>Id.</w:t>
      </w:r>
      <w:r w:rsidR="00262080" w:rsidRPr="00262080">
        <w:rPr>
          <w:sz w:val="20"/>
        </w:rPr>
        <w:t xml:space="preserve"> at 1243. We also found that Brown had not alleged facts that would satisfy </w:t>
      </w:r>
      <w:r w:rsidR="00262080" w:rsidRPr="00262080">
        <w:rPr>
          <w:i/>
          <w:iCs/>
          <w:sz w:val="20"/>
        </w:rPr>
        <w:t>Rogers</w:t>
      </w:r>
      <w:r w:rsidR="00262080" w:rsidRPr="00262080">
        <w:rPr>
          <w:sz w:val="20"/>
        </w:rPr>
        <w:t xml:space="preserve">’s second prong: “EA did not produce a game called </w:t>
      </w:r>
      <w:r w:rsidR="00262080" w:rsidRPr="00262080">
        <w:rPr>
          <w:i/>
          <w:iCs/>
          <w:sz w:val="20"/>
        </w:rPr>
        <w:t>Jim Brown Presents Pinball</w:t>
      </w:r>
      <w:r w:rsidR="00262080" w:rsidRPr="00262080">
        <w:rPr>
          <w:sz w:val="20"/>
        </w:rPr>
        <w:t xml:space="preserve"> with no relation to Jim Brown or football beyond the title; it produced a football game featuring likenesses of thousands of current and former NFL players, including Brown.” </w:t>
      </w:r>
      <w:r w:rsidR="00262080" w:rsidRPr="00262080">
        <w:rPr>
          <w:i/>
          <w:iCs/>
          <w:sz w:val="20"/>
        </w:rPr>
        <w:t>Id.</w:t>
      </w:r>
      <w:r w:rsidR="00262080" w:rsidRPr="00262080">
        <w:rPr>
          <w:sz w:val="20"/>
        </w:rPr>
        <w:t xml:space="preserve"> at 1244. We asked “whether the use of Brown’s likeness would confuse </w:t>
      </w:r>
      <w:r w:rsidR="00262080" w:rsidRPr="00262080">
        <w:rPr>
          <w:i/>
          <w:iCs/>
          <w:sz w:val="20"/>
        </w:rPr>
        <w:t>Madden NFL</w:t>
      </w:r>
      <w:r w:rsidR="00262080" w:rsidRPr="00262080">
        <w:rPr>
          <w:sz w:val="20"/>
        </w:rPr>
        <w:t xml:space="preserve"> players into thinking that Brown is somehow behind the games or that he sponsors EA’s </w:t>
      </w:r>
      <w:r w:rsidR="00262080" w:rsidRPr="00262080">
        <w:rPr>
          <w:sz w:val="20"/>
        </w:rPr>
        <w:lastRenderedPageBreak/>
        <w:t xml:space="preserve">product,” and held that it would not. </w:t>
      </w:r>
      <w:r w:rsidR="00262080" w:rsidRPr="00262080">
        <w:rPr>
          <w:i/>
          <w:iCs/>
          <w:sz w:val="20"/>
        </w:rPr>
        <w:t>Id.</w:t>
      </w:r>
      <w:r w:rsidR="00262080" w:rsidRPr="00262080">
        <w:rPr>
          <w:sz w:val="20"/>
        </w:rPr>
        <w:t xml:space="preserve"> at 1245–47 (alterations omitted). As in </w:t>
      </w:r>
      <w:proofErr w:type="spellStart"/>
      <w:r w:rsidR="00262080" w:rsidRPr="00262080">
        <w:rPr>
          <w:i/>
          <w:iCs/>
          <w:sz w:val="20"/>
        </w:rPr>
        <w:t>E.S.S</w:t>
      </w:r>
      <w:proofErr w:type="spellEnd"/>
      <w:r w:rsidR="00262080" w:rsidRPr="00262080">
        <w:rPr>
          <w:i/>
          <w:iCs/>
          <w:sz w:val="20"/>
        </w:rPr>
        <w:t>.</w:t>
      </w:r>
      <w:r w:rsidR="00262080" w:rsidRPr="00262080">
        <w:rPr>
          <w:sz w:val="20"/>
        </w:rPr>
        <w:t xml:space="preserve">, the plaintiff could not satisfy either of </w:t>
      </w:r>
      <w:r w:rsidR="00262080" w:rsidRPr="00262080">
        <w:rPr>
          <w:i/>
          <w:iCs/>
          <w:sz w:val="20"/>
        </w:rPr>
        <w:t>Rogers</w:t>
      </w:r>
      <w:r w:rsidR="00262080" w:rsidRPr="00262080">
        <w:rPr>
          <w:sz w:val="20"/>
        </w:rPr>
        <w:t>’s two prongs, and judgment for the defendant was proper.</w:t>
      </w:r>
    </w:p>
    <w:p w:rsidR="00262080" w:rsidRPr="00262080" w:rsidRDefault="00262080" w:rsidP="00850696">
      <w:pPr>
        <w:pStyle w:val="Centered"/>
        <w:keepNext/>
      </w:pPr>
      <w:bookmarkStart w:id="30" w:name="co_anchor_I9f10b2019f7d11e89ae3971b6d5ad"/>
      <w:bookmarkEnd w:id="30"/>
      <w:r w:rsidRPr="00262080">
        <w:t>IV</w:t>
      </w:r>
    </w:p>
    <w:p w:rsidR="00262080" w:rsidRPr="00262080" w:rsidRDefault="006A2B5B" w:rsidP="00262080">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28</w:t>
      </w:r>
      <w:r w:rsidRPr="007E2B51">
        <w:rPr>
          <w:color w:val="808080"/>
          <w:sz w:val="20"/>
        </w:rPr>
        <w:fldChar w:fldCharType="end"/>
      </w:r>
      <w:r w:rsidRPr="007E2B51">
        <w:rPr>
          <w:color w:val="808080"/>
          <w:sz w:val="20"/>
        </w:rPr>
        <w:t>]</w:t>
      </w:r>
      <w:r w:rsidRPr="007E2B51">
        <w:rPr>
          <w:sz w:val="20"/>
        </w:rPr>
        <w:t xml:space="preserve"> </w:t>
      </w:r>
      <w:bookmarkStart w:id="31" w:name="co_anchor_I9f11ea819f7d11e89ae3971b6d5ad"/>
      <w:bookmarkEnd w:id="31"/>
      <w:r w:rsidR="007D45E3" w:rsidRPr="007D45E3">
        <w:rPr>
          <w:sz w:val="20"/>
        </w:rPr>
        <w:t xml:space="preserve">In each of the cases coming before our court, the evidence was such that no reasonable jury could have found for the plaintiff on either prong of the </w:t>
      </w:r>
      <w:r w:rsidR="007D45E3" w:rsidRPr="007D45E3">
        <w:rPr>
          <w:i/>
          <w:iCs/>
          <w:sz w:val="20"/>
        </w:rPr>
        <w:t>Rogers</w:t>
      </w:r>
      <w:r w:rsidR="007D45E3" w:rsidRPr="007D45E3">
        <w:rPr>
          <w:sz w:val="20"/>
        </w:rPr>
        <w:t xml:space="preserve"> test, and we therefore concluded that the plaintiff’s Lanham Act claim failed as a matter of law. This case, however, demonstrates </w:t>
      </w:r>
      <w:r w:rsidR="007D45E3" w:rsidRPr="007D45E3">
        <w:rPr>
          <w:i/>
          <w:iCs/>
          <w:sz w:val="20"/>
        </w:rPr>
        <w:t>Rogers</w:t>
      </w:r>
      <w:r w:rsidR="007D45E3" w:rsidRPr="007D45E3">
        <w:rPr>
          <w:sz w:val="20"/>
        </w:rPr>
        <w:t xml:space="preserve">’s outer limits. Although defendants’ greeting cards are expressive works to which </w:t>
      </w:r>
      <w:r w:rsidR="007D45E3" w:rsidRPr="007D45E3">
        <w:rPr>
          <w:i/>
          <w:iCs/>
          <w:sz w:val="20"/>
        </w:rPr>
        <w:t>Rogers</w:t>
      </w:r>
      <w:r w:rsidR="007D45E3" w:rsidRPr="007D45E3">
        <w:rPr>
          <w:sz w:val="20"/>
        </w:rPr>
        <w:t xml:space="preserve"> applies, there remains a genuine issue of material fact as to </w:t>
      </w:r>
      <w:r w:rsidR="007D45E3" w:rsidRPr="007D45E3">
        <w:rPr>
          <w:i/>
          <w:iCs/>
          <w:sz w:val="20"/>
        </w:rPr>
        <w:t>Rogers</w:t>
      </w:r>
      <w:r w:rsidR="007D45E3" w:rsidRPr="007D45E3">
        <w:rPr>
          <w:sz w:val="20"/>
        </w:rPr>
        <w:t>’s second prong—i.e., whether defendants’ use of Gordon’s mark in their greeting cards is explicitly misleading.</w:t>
      </w:r>
    </w:p>
    <w:p w:rsidR="00262080" w:rsidRPr="00262080" w:rsidRDefault="00262080" w:rsidP="00850696">
      <w:pPr>
        <w:pStyle w:val="Centered"/>
      </w:pPr>
      <w:r w:rsidRPr="00262080">
        <w:t>A</w:t>
      </w:r>
    </w:p>
    <w:p w:rsidR="00262080" w:rsidRPr="00262080" w:rsidRDefault="006A2B5B" w:rsidP="00262080">
      <w:pPr>
        <w:rPr>
          <w:sz w:val="20"/>
        </w:rPr>
      </w:pPr>
      <w:bookmarkStart w:id="32" w:name="co_pp_sp_999_8_1"/>
      <w:bookmarkStart w:id="33" w:name="co_anchor_B102045151019_1"/>
      <w:bookmarkEnd w:id="32"/>
      <w:bookmarkEnd w:id="33"/>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29</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 xml:space="preserve">As a threshold matter, we have little difficulty determining that defendants have met their initial burden of demonstrating that their greeting cards are expressive works protected under the First Amendment. As we have previously observed, “[a greeting] card certainly evinces ‘[a]n intent to convey a particularized message ..., and in the surrounding circumstances the likelihood was great that the message would be understood by those who viewed it.’ ” </w:t>
      </w:r>
      <w:r w:rsidR="00262080" w:rsidRPr="00262080">
        <w:rPr>
          <w:i/>
          <w:iCs/>
          <w:sz w:val="20"/>
        </w:rPr>
        <w:t>Hilton v. Hallmark Cards</w:t>
      </w:r>
      <w:r w:rsidR="00262080" w:rsidRPr="00262080">
        <w:rPr>
          <w:sz w:val="20"/>
        </w:rPr>
        <w:t xml:space="preserve">, 599 F.3d 894, 904 (9th Cir. 2010) (quoting </w:t>
      </w:r>
      <w:r w:rsidR="00262080" w:rsidRPr="00262080">
        <w:rPr>
          <w:i/>
          <w:iCs/>
          <w:sz w:val="20"/>
        </w:rPr>
        <w:t>Spence v. Washington</w:t>
      </w:r>
      <w:r w:rsidR="00262080" w:rsidRPr="00262080">
        <w:rPr>
          <w:sz w:val="20"/>
        </w:rPr>
        <w:t xml:space="preserve">, 418 U.S. 405, 410–11, 94 </w:t>
      </w:r>
      <w:proofErr w:type="spellStart"/>
      <w:r w:rsidR="00262080" w:rsidRPr="00262080">
        <w:rPr>
          <w:sz w:val="20"/>
        </w:rPr>
        <w:t>S.Ct</w:t>
      </w:r>
      <w:proofErr w:type="spellEnd"/>
      <w:r w:rsidR="00262080" w:rsidRPr="00262080">
        <w:rPr>
          <w:sz w:val="20"/>
        </w:rPr>
        <w:t xml:space="preserve">. 2727, 41 L.Ed.2d 842 (1974) (per </w:t>
      </w:r>
      <w:proofErr w:type="spellStart"/>
      <w:r w:rsidR="00262080" w:rsidRPr="00262080">
        <w:rPr>
          <w:sz w:val="20"/>
        </w:rPr>
        <w:t>curiam</w:t>
      </w:r>
      <w:proofErr w:type="spellEnd"/>
      <w:r w:rsidR="00262080" w:rsidRPr="00262080">
        <w:rPr>
          <w:sz w:val="20"/>
        </w:rPr>
        <w:t xml:space="preserve">) ); </w:t>
      </w:r>
      <w:r w:rsidR="00262080" w:rsidRPr="00262080">
        <w:rPr>
          <w:i/>
          <w:iCs/>
          <w:sz w:val="20"/>
        </w:rPr>
        <w:t>see also Roth Greeting Cards v. United Card Co.</w:t>
      </w:r>
      <w:r w:rsidR="00262080" w:rsidRPr="00262080">
        <w:rPr>
          <w:sz w:val="20"/>
        </w:rPr>
        <w:t>, 429 F.2d 1106, 1110 (9th Cir. 1970) (plaintiff’s greeting cards, considered as a whole, “represent[</w:t>
      </w:r>
      <w:proofErr w:type="spellStart"/>
      <w:r w:rsidR="00262080" w:rsidRPr="00262080">
        <w:rPr>
          <w:sz w:val="20"/>
        </w:rPr>
        <w:t>ed</w:t>
      </w:r>
      <w:proofErr w:type="spellEnd"/>
      <w:r w:rsidR="00262080" w:rsidRPr="00262080">
        <w:rPr>
          <w:sz w:val="20"/>
        </w:rPr>
        <w:t>] a tangible expression of an idea” and hence were copyrightable). Each of defendants’ cards relies on graphics and text to convey a humorous message through the juxtaposition of an event of some significance—a birthday, Halloween, an election—with the honey badger’s aggressive assertion of apathy. Although the cards may not share the creative artistry of Charles Schulz or Sandra Boynton, the First Amendment protects expressive works “[e]</w:t>
      </w:r>
      <w:proofErr w:type="spellStart"/>
      <w:r w:rsidR="00262080" w:rsidRPr="00262080">
        <w:rPr>
          <w:sz w:val="20"/>
        </w:rPr>
        <w:t>ven</w:t>
      </w:r>
      <w:proofErr w:type="spellEnd"/>
      <w:r w:rsidR="00262080" w:rsidRPr="00262080">
        <w:rPr>
          <w:sz w:val="20"/>
        </w:rPr>
        <w:t xml:space="preserve"> if [they are] not the expressive equal of </w:t>
      </w:r>
      <w:r w:rsidR="00262080" w:rsidRPr="00262080">
        <w:rPr>
          <w:i/>
          <w:iCs/>
          <w:sz w:val="20"/>
        </w:rPr>
        <w:t>Anna Karenina</w:t>
      </w:r>
      <w:r w:rsidR="00262080" w:rsidRPr="00262080">
        <w:rPr>
          <w:sz w:val="20"/>
        </w:rPr>
        <w:t xml:space="preserve"> or </w:t>
      </w:r>
      <w:r w:rsidR="00262080" w:rsidRPr="00262080">
        <w:rPr>
          <w:i/>
          <w:iCs/>
          <w:sz w:val="20"/>
        </w:rPr>
        <w:t>Citizen Kane</w:t>
      </w:r>
      <w:r w:rsidR="00262080" w:rsidRPr="00262080">
        <w:rPr>
          <w:sz w:val="20"/>
        </w:rPr>
        <w:t xml:space="preserve">.” </w:t>
      </w:r>
      <w:r w:rsidR="00262080" w:rsidRPr="00262080">
        <w:rPr>
          <w:i/>
          <w:iCs/>
          <w:sz w:val="20"/>
        </w:rPr>
        <w:t>Brown</w:t>
      </w:r>
      <w:r w:rsidR="00262080" w:rsidRPr="00262080">
        <w:rPr>
          <w:sz w:val="20"/>
        </w:rPr>
        <w:t xml:space="preserve">, 724 F.3d at 1241. Because defendants have met their initial burden, the burden shifts to Gordon to raise a triable issue of fact as to at least one of </w:t>
      </w:r>
      <w:r w:rsidR="00262080" w:rsidRPr="00262080">
        <w:rPr>
          <w:i/>
          <w:iCs/>
          <w:sz w:val="20"/>
        </w:rPr>
        <w:t>Rogers</w:t>
      </w:r>
      <w:r w:rsidR="00262080" w:rsidRPr="00262080">
        <w:rPr>
          <w:sz w:val="20"/>
        </w:rPr>
        <w:t>’s two prongs.</w:t>
      </w:r>
      <w:bookmarkStart w:id="34" w:name="co_anchor_I9f1434719f7d11e89ae3971b6d5ad"/>
      <w:bookmarkEnd w:id="34"/>
    </w:p>
    <w:p w:rsidR="00262080" w:rsidRPr="00262080" w:rsidRDefault="00262080" w:rsidP="00850696">
      <w:pPr>
        <w:pStyle w:val="Centered"/>
      </w:pPr>
      <w:r w:rsidRPr="00262080">
        <w:t>B</w:t>
      </w:r>
    </w:p>
    <w:p w:rsidR="007D45E3" w:rsidRDefault="006A2B5B" w:rsidP="007D45E3">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30</w:t>
      </w:r>
      <w:r w:rsidRPr="007E2B51">
        <w:rPr>
          <w:color w:val="808080"/>
          <w:sz w:val="20"/>
        </w:rPr>
        <w:fldChar w:fldCharType="end"/>
      </w:r>
      <w:r w:rsidRPr="007E2B51">
        <w:rPr>
          <w:color w:val="808080"/>
          <w:sz w:val="20"/>
        </w:rPr>
        <w:t>]</w:t>
      </w:r>
      <w:r w:rsidRPr="007E2B51">
        <w:rPr>
          <w:sz w:val="20"/>
        </w:rPr>
        <w:t xml:space="preserve"> </w:t>
      </w:r>
      <w:bookmarkStart w:id="35" w:name="co_footnoteReference_B00092045151019_ID0"/>
      <w:bookmarkEnd w:id="35"/>
      <w:r w:rsidR="007D45E3" w:rsidRPr="007D45E3">
        <w:rPr>
          <w:i/>
          <w:iCs/>
          <w:sz w:val="20"/>
        </w:rPr>
        <w:t>Rogers</w:t>
      </w:r>
      <w:r w:rsidR="007D45E3" w:rsidRPr="007D45E3">
        <w:rPr>
          <w:sz w:val="20"/>
        </w:rPr>
        <w:t xml:space="preserve">’s first prong requires proof that defendants’ use of Gordon’s mark was not “artistically relevant” to defendants’ greeting cards. We have said that “the level of artistic relevance of the trademark or other identifying material to the work merely must be above zero.” </w:t>
      </w:r>
      <w:r w:rsidR="007D45E3" w:rsidRPr="007D45E3">
        <w:rPr>
          <w:i/>
          <w:iCs/>
          <w:sz w:val="20"/>
        </w:rPr>
        <w:t>Id.</w:t>
      </w:r>
      <w:r w:rsidR="007D45E3" w:rsidRPr="007D45E3">
        <w:rPr>
          <w:sz w:val="20"/>
        </w:rPr>
        <w:t xml:space="preserve"> at 1243 (internal alterations omitted) (quoting </w:t>
      </w:r>
      <w:proofErr w:type="spellStart"/>
      <w:r w:rsidR="007D45E3" w:rsidRPr="007D45E3">
        <w:rPr>
          <w:i/>
          <w:iCs/>
          <w:sz w:val="20"/>
        </w:rPr>
        <w:t>E.S.S</w:t>
      </w:r>
      <w:proofErr w:type="spellEnd"/>
      <w:r w:rsidR="007D45E3" w:rsidRPr="007D45E3">
        <w:rPr>
          <w:i/>
          <w:iCs/>
          <w:sz w:val="20"/>
        </w:rPr>
        <w:t>.</w:t>
      </w:r>
      <w:r w:rsidR="007D45E3" w:rsidRPr="007D45E3">
        <w:rPr>
          <w:sz w:val="20"/>
        </w:rPr>
        <w:t xml:space="preserve">, 547 F.3d at 1100). Indeed, “even the slightest artistic relevance” will suffice; courts and juries should not have to engage in extensive “artistic analysis.” </w:t>
      </w:r>
      <w:r w:rsidR="007D45E3" w:rsidRPr="007D45E3">
        <w:rPr>
          <w:i/>
          <w:iCs/>
          <w:sz w:val="20"/>
        </w:rPr>
        <w:t>Id.</w:t>
      </w:r>
      <w:r w:rsidR="007D45E3" w:rsidRPr="007D45E3">
        <w:rPr>
          <w:sz w:val="20"/>
        </w:rPr>
        <w:t xml:space="preserve"> at 1243, 1245; </w:t>
      </w:r>
      <w:r w:rsidR="007D45E3" w:rsidRPr="007D45E3">
        <w:rPr>
          <w:i/>
          <w:iCs/>
          <w:sz w:val="20"/>
        </w:rPr>
        <w:t xml:space="preserve">see </w:t>
      </w:r>
      <w:proofErr w:type="spellStart"/>
      <w:r w:rsidR="007D45E3" w:rsidRPr="007D45E3">
        <w:rPr>
          <w:i/>
          <w:iCs/>
          <w:sz w:val="20"/>
        </w:rPr>
        <w:t>Bleistein</w:t>
      </w:r>
      <w:proofErr w:type="spellEnd"/>
      <w:r w:rsidR="007D45E3" w:rsidRPr="007D45E3">
        <w:rPr>
          <w:i/>
          <w:iCs/>
          <w:sz w:val="20"/>
        </w:rPr>
        <w:t xml:space="preserve"> v. Donaldson Lithographing Co.</w:t>
      </w:r>
      <w:r w:rsidR="007D45E3" w:rsidRPr="007D45E3">
        <w:rPr>
          <w:sz w:val="20"/>
        </w:rPr>
        <w:t xml:space="preserve">, 188 U.S. 239, 251, 23 </w:t>
      </w:r>
      <w:proofErr w:type="spellStart"/>
      <w:r w:rsidR="007D45E3" w:rsidRPr="007D45E3">
        <w:rPr>
          <w:sz w:val="20"/>
        </w:rPr>
        <w:t>S.Ct</w:t>
      </w:r>
      <w:proofErr w:type="spellEnd"/>
      <w:r w:rsidR="007D45E3" w:rsidRPr="007D45E3">
        <w:rPr>
          <w:sz w:val="20"/>
        </w:rPr>
        <w:t xml:space="preserve">. 298, 47 </w:t>
      </w:r>
      <w:proofErr w:type="spellStart"/>
      <w:r w:rsidR="007D45E3" w:rsidRPr="007D45E3">
        <w:rPr>
          <w:sz w:val="20"/>
        </w:rPr>
        <w:t>L.Ed</w:t>
      </w:r>
      <w:proofErr w:type="spellEnd"/>
      <w:r w:rsidR="007D45E3" w:rsidRPr="007D45E3">
        <w:rPr>
          <w:sz w:val="20"/>
        </w:rPr>
        <w:t>. 460 (1903) (“It would be a dangerous undertaking for persons trained only to the law to constitute themselves final judges of the worth of pictorial illustrations, outside of the narrowest and most obvious limits.”).</w:t>
      </w:r>
    </w:p>
    <w:p w:rsidR="007D45E3" w:rsidRPr="007D45E3" w:rsidRDefault="007D45E3" w:rsidP="007D45E3">
      <w:pPr>
        <w:rPr>
          <w:sz w:val="20"/>
        </w:rPr>
      </w:pPr>
      <w:r w:rsidRPr="007D45E3">
        <w:rPr>
          <w:sz w:val="20"/>
        </w:rPr>
        <w:t xml:space="preserve">Gordon’s mark is certainly relevant to defendants’ greeting cards; the phrase is the punchline on which the cards’ humor turns. In six of the seven cards, the front cover sets up an expectation that an event will be treated as important, and the inside of the card dispels that expectation with either the </w:t>
      </w:r>
      <w:proofErr w:type="spellStart"/>
      <w:r w:rsidRPr="007D45E3">
        <w:rPr>
          <w:sz w:val="20"/>
        </w:rPr>
        <w:t>HBDC</w:t>
      </w:r>
      <w:proofErr w:type="spellEnd"/>
      <w:r w:rsidRPr="007D45E3">
        <w:rPr>
          <w:sz w:val="20"/>
        </w:rPr>
        <w:t xml:space="preserve"> or </w:t>
      </w:r>
      <w:proofErr w:type="spellStart"/>
      <w:r w:rsidRPr="007D45E3">
        <w:rPr>
          <w:sz w:val="20"/>
        </w:rPr>
        <w:t>HBDGS</w:t>
      </w:r>
      <w:proofErr w:type="spellEnd"/>
      <w:r w:rsidRPr="007D45E3">
        <w:rPr>
          <w:sz w:val="20"/>
        </w:rPr>
        <w:t xml:space="preserve"> phrase. The last card, the “Critter Card,” operates in reverse: the front cover uses variations of the </w:t>
      </w:r>
      <w:proofErr w:type="spellStart"/>
      <w:r w:rsidRPr="007D45E3">
        <w:rPr>
          <w:sz w:val="20"/>
        </w:rPr>
        <w:t>HBDGS</w:t>
      </w:r>
      <w:proofErr w:type="spellEnd"/>
      <w:r w:rsidRPr="007D45E3">
        <w:rPr>
          <w:sz w:val="20"/>
        </w:rPr>
        <w:t xml:space="preserve"> phrase to establish an apathetic tone, while the inside conveys that the card’s sender actually cares about the recipient’s birthday. We thus conclude that Gordon has not raised a triable issue of fact with respect to </w:t>
      </w:r>
      <w:r w:rsidRPr="007D45E3">
        <w:rPr>
          <w:i/>
          <w:iCs/>
          <w:sz w:val="20"/>
        </w:rPr>
        <w:t>Rogers</w:t>
      </w:r>
      <w:r w:rsidRPr="007D45E3">
        <w:rPr>
          <w:sz w:val="20"/>
        </w:rPr>
        <w:t>’s “artistic relevance” prong.</w:t>
      </w:r>
    </w:p>
    <w:p w:rsidR="007D45E3" w:rsidRPr="007D45E3" w:rsidRDefault="007D45E3" w:rsidP="007D45E3">
      <w:pPr>
        <w:pStyle w:val="Centered"/>
      </w:pPr>
      <w:r>
        <w:t>C</w:t>
      </w:r>
    </w:p>
    <w:p w:rsidR="007D45E3" w:rsidRPr="007D45E3" w:rsidRDefault="007D45E3" w:rsidP="007D45E3">
      <w:pPr>
        <w:rPr>
          <w:sz w:val="20"/>
        </w:rPr>
      </w:pPr>
      <w:r w:rsidRPr="007E2B51">
        <w:rPr>
          <w:color w:val="808080"/>
          <w:sz w:val="20"/>
        </w:rPr>
        <w:lastRenderedPageBreak/>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31</w:t>
      </w:r>
      <w:r w:rsidRPr="007E2B51">
        <w:rPr>
          <w:color w:val="808080"/>
          <w:sz w:val="20"/>
        </w:rPr>
        <w:fldChar w:fldCharType="end"/>
      </w:r>
      <w:r w:rsidRPr="007E2B51">
        <w:rPr>
          <w:color w:val="808080"/>
          <w:sz w:val="20"/>
        </w:rPr>
        <w:t>]</w:t>
      </w:r>
      <w:r w:rsidRPr="007E2B51">
        <w:rPr>
          <w:sz w:val="20"/>
        </w:rPr>
        <w:t xml:space="preserve"> </w:t>
      </w:r>
      <w:r w:rsidRPr="007D45E3">
        <w:rPr>
          <w:sz w:val="20"/>
        </w:rPr>
        <w:t xml:space="preserve">Even if the use of the mark is artistically relevant to the work, the creator of the work can be liable under the Lanham Act if the creator’s use of the mark is “explicitly misleading as to source or content.” </w:t>
      </w:r>
      <w:r w:rsidRPr="007D45E3">
        <w:rPr>
          <w:i/>
          <w:iCs/>
          <w:sz w:val="20"/>
        </w:rPr>
        <w:t>Rogers</w:t>
      </w:r>
      <w:r w:rsidRPr="007D45E3">
        <w:rPr>
          <w:sz w:val="20"/>
        </w:rPr>
        <w:t xml:space="preserve">, 875 F.2d at 999. “This second prong of the </w:t>
      </w:r>
      <w:r w:rsidRPr="007D45E3">
        <w:rPr>
          <w:i/>
          <w:iCs/>
          <w:sz w:val="20"/>
        </w:rPr>
        <w:t>Rogers</w:t>
      </w:r>
      <w:r w:rsidRPr="007D45E3">
        <w:rPr>
          <w:sz w:val="20"/>
        </w:rPr>
        <w:t xml:space="preserve"> test ‘points directly at the purpose of trademark law, namely to avoid confusion in the marketplace by allowing a trademark owner to prevent others from duping consumers into buying a product they mistakenly believe is sponsored [or created] by the trademark owner.’ ” </w:t>
      </w:r>
      <w:r w:rsidRPr="007D45E3">
        <w:rPr>
          <w:i/>
          <w:iCs/>
          <w:sz w:val="20"/>
        </w:rPr>
        <w:t>Brown</w:t>
      </w:r>
      <w:r w:rsidRPr="007D45E3">
        <w:rPr>
          <w:sz w:val="20"/>
        </w:rPr>
        <w:t xml:space="preserve">, 724 F.3d at 1245 (quoting </w:t>
      </w:r>
      <w:proofErr w:type="spellStart"/>
      <w:r w:rsidRPr="007D45E3">
        <w:rPr>
          <w:i/>
          <w:iCs/>
          <w:sz w:val="20"/>
        </w:rPr>
        <w:t>E.S.S</w:t>
      </w:r>
      <w:proofErr w:type="spellEnd"/>
      <w:r w:rsidRPr="007D45E3">
        <w:rPr>
          <w:i/>
          <w:iCs/>
          <w:sz w:val="20"/>
        </w:rPr>
        <w:t>.</w:t>
      </w:r>
      <w:r w:rsidRPr="007D45E3">
        <w:rPr>
          <w:sz w:val="20"/>
        </w:rPr>
        <w:t xml:space="preserve">, 547 F.3d at 1100). The “key here [is] that the creator must </w:t>
      </w:r>
      <w:r w:rsidRPr="007D45E3">
        <w:rPr>
          <w:i/>
          <w:iCs/>
          <w:sz w:val="20"/>
        </w:rPr>
        <w:t>explicitly</w:t>
      </w:r>
      <w:r w:rsidRPr="007D45E3">
        <w:rPr>
          <w:sz w:val="20"/>
        </w:rPr>
        <w:t xml:space="preserve"> mislead consumers,” and we accordingly focus on “the nature of the [junior user’s] behavior” rather than on “the impact of the use.” </w:t>
      </w:r>
      <w:r w:rsidRPr="007D45E3">
        <w:rPr>
          <w:i/>
          <w:iCs/>
          <w:sz w:val="20"/>
        </w:rPr>
        <w:t>Id.</w:t>
      </w:r>
      <w:r w:rsidRPr="007D45E3">
        <w:rPr>
          <w:sz w:val="20"/>
        </w:rPr>
        <w:t xml:space="preserve"> at 1245–46.</w:t>
      </w:r>
    </w:p>
    <w:p w:rsidR="007D45E3" w:rsidRPr="007D45E3" w:rsidRDefault="007D45E3" w:rsidP="007D45E3">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32</w:t>
      </w:r>
      <w:r w:rsidRPr="007E2B51">
        <w:rPr>
          <w:color w:val="808080"/>
          <w:sz w:val="20"/>
        </w:rPr>
        <w:fldChar w:fldCharType="end"/>
      </w:r>
      <w:r w:rsidRPr="007E2B51">
        <w:rPr>
          <w:color w:val="808080"/>
          <w:sz w:val="20"/>
        </w:rPr>
        <w:t>]</w:t>
      </w:r>
      <w:r w:rsidRPr="007D45E3">
        <w:rPr>
          <w:sz w:val="20"/>
        </w:rPr>
        <w:t> </w:t>
      </w:r>
      <w:bookmarkStart w:id="36" w:name="co_anchor_B142046053674_1"/>
      <w:bookmarkStart w:id="37" w:name="co_anchor_B152046053674_1"/>
      <w:bookmarkEnd w:id="36"/>
      <w:bookmarkEnd w:id="37"/>
      <w:r w:rsidRPr="007D45E3">
        <w:rPr>
          <w:sz w:val="20"/>
        </w:rPr>
        <w:t xml:space="preserve">In applying this prong, however, we must remain mindful of the purpose of the </w:t>
      </w:r>
      <w:r w:rsidRPr="007D45E3">
        <w:rPr>
          <w:i/>
          <w:iCs/>
          <w:sz w:val="20"/>
        </w:rPr>
        <w:t>Rogers</w:t>
      </w:r>
      <w:r w:rsidRPr="007D45E3">
        <w:rPr>
          <w:sz w:val="20"/>
        </w:rPr>
        <w:t xml:space="preserve"> test, which is to balance “the public interest in avoiding consumer confusion” against “the public interest in free expression.” </w:t>
      </w:r>
      <w:r w:rsidRPr="007D45E3">
        <w:rPr>
          <w:i/>
          <w:iCs/>
          <w:sz w:val="20"/>
        </w:rPr>
        <w:t>Rogers</w:t>
      </w:r>
      <w:r w:rsidRPr="007D45E3">
        <w:rPr>
          <w:sz w:val="20"/>
        </w:rPr>
        <w:t xml:space="preserve">, 875 F.2d at 999. This is not a mechanical test—“all of the relevant facts and circumstances” must be considered. </w:t>
      </w:r>
      <w:r w:rsidRPr="007D45E3">
        <w:rPr>
          <w:i/>
          <w:iCs/>
          <w:sz w:val="20"/>
        </w:rPr>
        <w:t>Id.</w:t>
      </w:r>
      <w:r w:rsidRPr="007D45E3">
        <w:rPr>
          <w:sz w:val="20"/>
        </w:rPr>
        <w:t xml:space="preserve"> at 1000 n.6. We therefore reject the district court’s rigid requirement that, to be explicitly misleading, the defendant must make an “affirmative statement of the plaintiff’s sponsorship or endorsement.” Such a statement may be sufficient to show that the use of a mark is explicitly misleading, but it is not a prerequisite. </w:t>
      </w:r>
      <w:r w:rsidRPr="007D45E3">
        <w:rPr>
          <w:i/>
          <w:iCs/>
          <w:sz w:val="20"/>
        </w:rPr>
        <w:t>See</w:t>
      </w:r>
      <w:r w:rsidRPr="007D45E3">
        <w:rPr>
          <w:sz w:val="20"/>
        </w:rPr>
        <w:t xml:space="preserve"> 2 MCCARTHY § 10:17.10 (noting that </w:t>
      </w:r>
      <w:r w:rsidRPr="007D45E3">
        <w:rPr>
          <w:i/>
          <w:iCs/>
          <w:sz w:val="20"/>
        </w:rPr>
        <w:t>Rogers</w:t>
      </w:r>
      <w:r w:rsidRPr="007D45E3">
        <w:rPr>
          <w:sz w:val="20"/>
        </w:rPr>
        <w:t xml:space="preserve">’s </w:t>
      </w:r>
      <w:bookmarkStart w:id="38" w:name="co_pp_sp_506_270_1"/>
      <w:bookmarkEnd w:id="38"/>
      <w:r w:rsidRPr="007D45E3">
        <w:rPr>
          <w:sz w:val="20"/>
        </w:rPr>
        <w:t>second prong does not hinge on the junior user “falsely assert[</w:t>
      </w:r>
      <w:proofErr w:type="spellStart"/>
      <w:r w:rsidRPr="007D45E3">
        <w:rPr>
          <w:sz w:val="20"/>
        </w:rPr>
        <w:t>ing</w:t>
      </w:r>
      <w:proofErr w:type="spellEnd"/>
      <w:r w:rsidRPr="007D45E3">
        <w:rPr>
          <w:sz w:val="20"/>
        </w:rPr>
        <w:t>] that there is an affiliation”). In some instances, the use of a mark alone may explicitly mislead consumers about a product’s source if consumers would ordinarily identify the source by the mark itself. If an artist pastes Disney’s trademark at the bottom corner of a painting that depicts Mickey Mouse, the use of Disney’s mark, while arguably relevant to the subject of the painting, could explicitly mislead consumers that Disney created or authorized the painting, even if those words do not appear alongside the mark itself.</w:t>
      </w:r>
    </w:p>
    <w:p w:rsidR="007D45E3" w:rsidRPr="007D45E3" w:rsidRDefault="007D45E3" w:rsidP="007D45E3">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33</w:t>
      </w:r>
      <w:r w:rsidRPr="007E2B51">
        <w:rPr>
          <w:color w:val="808080"/>
          <w:sz w:val="20"/>
        </w:rPr>
        <w:fldChar w:fldCharType="end"/>
      </w:r>
      <w:r w:rsidRPr="007E2B51">
        <w:rPr>
          <w:color w:val="808080"/>
          <w:sz w:val="20"/>
        </w:rPr>
        <w:t>]</w:t>
      </w:r>
      <w:r w:rsidRPr="007E2B51">
        <w:rPr>
          <w:sz w:val="20"/>
        </w:rPr>
        <w:t xml:space="preserve"> </w:t>
      </w:r>
      <w:r w:rsidRPr="007D45E3">
        <w:rPr>
          <w:sz w:val="20"/>
        </w:rPr>
        <w:t xml:space="preserve">To be sure, we have repeatedly observed that “the mere use of a trademark alone cannot suffice to make such use explicitly misleading.” </w:t>
      </w:r>
      <w:proofErr w:type="spellStart"/>
      <w:r w:rsidRPr="007D45E3">
        <w:rPr>
          <w:i/>
          <w:iCs/>
          <w:sz w:val="20"/>
        </w:rPr>
        <w:t>E.S.S</w:t>
      </w:r>
      <w:proofErr w:type="spellEnd"/>
      <w:r w:rsidRPr="007D45E3">
        <w:rPr>
          <w:i/>
          <w:iCs/>
          <w:sz w:val="20"/>
        </w:rPr>
        <w:t>.</w:t>
      </w:r>
      <w:r w:rsidRPr="007D45E3">
        <w:rPr>
          <w:sz w:val="20"/>
        </w:rPr>
        <w:t xml:space="preserve">, 547 F.3d at 1100 (citing </w:t>
      </w:r>
      <w:r w:rsidRPr="007D45E3">
        <w:rPr>
          <w:i/>
          <w:iCs/>
          <w:sz w:val="20"/>
        </w:rPr>
        <w:t>MCA</w:t>
      </w:r>
      <w:r w:rsidRPr="007D45E3">
        <w:rPr>
          <w:sz w:val="20"/>
        </w:rPr>
        <w:t xml:space="preserve"> </w:t>
      </w:r>
      <w:r w:rsidRPr="007D45E3">
        <w:rPr>
          <w:i/>
          <w:iCs/>
          <w:sz w:val="20"/>
        </w:rPr>
        <w:t>Records</w:t>
      </w:r>
      <w:r w:rsidRPr="007D45E3">
        <w:rPr>
          <w:sz w:val="20"/>
        </w:rPr>
        <w:t xml:space="preserve">, 296 F.3d at 902). But each time we have made this observation, it was clear that consumers would not view the mark alone as identifying the source of the artistic work. No one would think that a song or a photograph titled “Barbie” was created by Mattel, because consumers “do not expect [titles] to identify” the “origin” of the work. </w:t>
      </w:r>
      <w:r w:rsidRPr="007D45E3">
        <w:rPr>
          <w:i/>
          <w:iCs/>
          <w:sz w:val="20"/>
        </w:rPr>
        <w:t>MCA Records</w:t>
      </w:r>
      <w:r w:rsidRPr="007D45E3">
        <w:rPr>
          <w:sz w:val="20"/>
        </w:rPr>
        <w:t xml:space="preserve">, 296 F.3d at 902. Nor would anyone “think a company that owns one strip club in East Los Angeles ... also produces a technologically sophisticated video game.” </w:t>
      </w:r>
      <w:proofErr w:type="spellStart"/>
      <w:r w:rsidRPr="007D45E3">
        <w:rPr>
          <w:i/>
          <w:iCs/>
          <w:sz w:val="20"/>
        </w:rPr>
        <w:t>E.S.S</w:t>
      </w:r>
      <w:proofErr w:type="spellEnd"/>
      <w:r w:rsidRPr="007D45E3">
        <w:rPr>
          <w:i/>
          <w:iCs/>
          <w:sz w:val="20"/>
        </w:rPr>
        <w:t>.</w:t>
      </w:r>
      <w:r w:rsidRPr="007D45E3">
        <w:rPr>
          <w:sz w:val="20"/>
        </w:rPr>
        <w:t xml:space="preserve">, 547 F.3d at 1100–01. But this reasoning does not extend to instances in which consumers </w:t>
      </w:r>
      <w:r w:rsidRPr="007D45E3">
        <w:rPr>
          <w:i/>
          <w:iCs/>
          <w:sz w:val="20"/>
        </w:rPr>
        <w:t>would</w:t>
      </w:r>
      <w:r w:rsidRPr="007D45E3">
        <w:rPr>
          <w:sz w:val="20"/>
        </w:rPr>
        <w:t xml:space="preserve"> expect the use of a mark alone to identify the source.</w:t>
      </w:r>
    </w:p>
    <w:p w:rsidR="007D45E3" w:rsidRPr="007D45E3" w:rsidRDefault="007D45E3" w:rsidP="007D45E3">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34</w:t>
      </w:r>
      <w:r w:rsidRPr="007E2B51">
        <w:rPr>
          <w:color w:val="808080"/>
          <w:sz w:val="20"/>
        </w:rPr>
        <w:fldChar w:fldCharType="end"/>
      </w:r>
      <w:r w:rsidRPr="007E2B51">
        <w:rPr>
          <w:color w:val="808080"/>
          <w:sz w:val="20"/>
        </w:rPr>
        <w:t>]</w:t>
      </w:r>
      <w:r w:rsidRPr="007E2B51">
        <w:rPr>
          <w:sz w:val="20"/>
        </w:rPr>
        <w:t xml:space="preserve"> </w:t>
      </w:r>
      <w:r w:rsidRPr="007D45E3">
        <w:rPr>
          <w:sz w:val="20"/>
        </w:rPr>
        <w:t xml:space="preserve">A more relevant consideration is the degree to which the junior user uses the mark in the same way as the senior user. In the cases in which we have applied the </w:t>
      </w:r>
      <w:r w:rsidRPr="007D45E3">
        <w:rPr>
          <w:i/>
          <w:iCs/>
          <w:sz w:val="20"/>
        </w:rPr>
        <w:t>Rogers</w:t>
      </w:r>
      <w:r w:rsidRPr="007D45E3">
        <w:rPr>
          <w:sz w:val="20"/>
        </w:rPr>
        <w:t xml:space="preserve"> test, the junior user has employed the mark in a different context—often in an entirely different market—than the senior user. In </w:t>
      </w:r>
      <w:r w:rsidRPr="007D45E3">
        <w:rPr>
          <w:i/>
          <w:iCs/>
          <w:sz w:val="20"/>
        </w:rPr>
        <w:t>MCA Records</w:t>
      </w:r>
      <w:r w:rsidRPr="007D45E3">
        <w:rPr>
          <w:sz w:val="20"/>
        </w:rPr>
        <w:t xml:space="preserve"> and </w:t>
      </w:r>
      <w:r w:rsidRPr="007D45E3">
        <w:rPr>
          <w:i/>
          <w:iCs/>
          <w:sz w:val="20"/>
        </w:rPr>
        <w:t>Walking Mountain</w:t>
      </w:r>
      <w:r w:rsidRPr="007D45E3">
        <w:rPr>
          <w:sz w:val="20"/>
        </w:rPr>
        <w:t xml:space="preserve">, for example, Mattel’s Barbie mark was used in a song and a series of photos. In </w:t>
      </w:r>
      <w:proofErr w:type="spellStart"/>
      <w:r w:rsidRPr="007D45E3">
        <w:rPr>
          <w:i/>
          <w:iCs/>
          <w:sz w:val="20"/>
        </w:rPr>
        <w:t>E.S.S</w:t>
      </w:r>
      <w:proofErr w:type="spellEnd"/>
      <w:r w:rsidRPr="007D45E3">
        <w:rPr>
          <w:i/>
          <w:iCs/>
          <w:sz w:val="20"/>
        </w:rPr>
        <w:t>.</w:t>
      </w:r>
      <w:r w:rsidRPr="007D45E3">
        <w:rPr>
          <w:sz w:val="20"/>
        </w:rPr>
        <w:t xml:space="preserve">, the mark of a strip club was used in a video game. And in </w:t>
      </w:r>
      <w:r w:rsidRPr="007D45E3">
        <w:rPr>
          <w:i/>
          <w:iCs/>
          <w:sz w:val="20"/>
        </w:rPr>
        <w:t>Twentieth Century Fox</w:t>
      </w:r>
      <w:r w:rsidRPr="007D45E3">
        <w:rPr>
          <w:sz w:val="20"/>
        </w:rPr>
        <w:t xml:space="preserve">, the mark of a record label was used in a television show. In each of these cases, the senior user and junior user used the mark in different ways. This disparate use of the mark was at most “only suggestive” of the product’s source and therefore did not outweigh the junior user’s First Amendment interests. </w:t>
      </w:r>
      <w:r w:rsidRPr="007D45E3">
        <w:rPr>
          <w:i/>
          <w:iCs/>
          <w:sz w:val="20"/>
        </w:rPr>
        <w:t>Rogers</w:t>
      </w:r>
      <w:r w:rsidRPr="007D45E3">
        <w:rPr>
          <w:sz w:val="20"/>
        </w:rPr>
        <w:t>, 875 F.2d at 1000.</w:t>
      </w:r>
    </w:p>
    <w:p w:rsidR="007D45E3" w:rsidRPr="007D45E3" w:rsidRDefault="007D45E3" w:rsidP="007D45E3">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35</w:t>
      </w:r>
      <w:r w:rsidRPr="007E2B51">
        <w:rPr>
          <w:color w:val="808080"/>
          <w:sz w:val="20"/>
        </w:rPr>
        <w:fldChar w:fldCharType="end"/>
      </w:r>
      <w:r w:rsidRPr="007E2B51">
        <w:rPr>
          <w:color w:val="808080"/>
          <w:sz w:val="20"/>
        </w:rPr>
        <w:t>]</w:t>
      </w:r>
      <w:r w:rsidRPr="007E2B51">
        <w:rPr>
          <w:sz w:val="20"/>
        </w:rPr>
        <w:t xml:space="preserve"> </w:t>
      </w:r>
      <w:r w:rsidRPr="007D45E3">
        <w:rPr>
          <w:sz w:val="20"/>
        </w:rPr>
        <w:t xml:space="preserve">But had the junior user in these cases used the mark in the same way as the senior user—had Twentieth Century Fox titled its new show </w:t>
      </w:r>
      <w:r w:rsidRPr="007D45E3">
        <w:rPr>
          <w:i/>
          <w:iCs/>
          <w:sz w:val="20"/>
        </w:rPr>
        <w:t>Law &amp; Order: Special Hip-Hop</w:t>
      </w:r>
      <w:r w:rsidRPr="007D45E3">
        <w:rPr>
          <w:sz w:val="20"/>
        </w:rPr>
        <w:t xml:space="preserve"> </w:t>
      </w:r>
      <w:r w:rsidRPr="007D45E3">
        <w:rPr>
          <w:i/>
          <w:iCs/>
          <w:sz w:val="20"/>
        </w:rPr>
        <w:t>Unit</w:t>
      </w:r>
      <w:bookmarkStart w:id="39" w:name="co_fnRef_B00122046053674_ID0EUOCI_1"/>
      <w:bookmarkEnd w:id="39"/>
      <w:r>
        <w:rPr>
          <w:rStyle w:val="FootnoteReference"/>
          <w:i/>
          <w:iCs/>
          <w:sz w:val="20"/>
        </w:rPr>
        <w:footnoteReference w:customMarkFollows="1" w:id="6"/>
        <w:t>10</w:t>
      </w:r>
      <w:r w:rsidRPr="007D45E3">
        <w:rPr>
          <w:sz w:val="20"/>
        </w:rPr>
        <w:t>—</w:t>
      </w:r>
      <w:r w:rsidRPr="007D45E3">
        <w:rPr>
          <w:sz w:val="20"/>
        </w:rPr>
        <w:lastRenderedPageBreak/>
        <w:t xml:space="preserve">such identical usage could reflect the type of “explicitly misleading description” of source that </w:t>
      </w:r>
      <w:r w:rsidRPr="007D45E3">
        <w:rPr>
          <w:i/>
          <w:iCs/>
          <w:sz w:val="20"/>
        </w:rPr>
        <w:t>Rogers</w:t>
      </w:r>
      <w:r w:rsidRPr="007D45E3">
        <w:rPr>
          <w:sz w:val="20"/>
        </w:rPr>
        <w:t xml:space="preserve"> condemns. 875 F.2d at 999–1000. </w:t>
      </w:r>
      <w:r w:rsidRPr="007D45E3">
        <w:rPr>
          <w:i/>
          <w:iCs/>
          <w:sz w:val="20"/>
        </w:rPr>
        <w:t>Rogers</w:t>
      </w:r>
      <w:r w:rsidRPr="007D45E3">
        <w:rPr>
          <w:sz w:val="20"/>
        </w:rPr>
        <w:t xml:space="preserve"> itself makes this point by noting that “misleading titles that are confusingly similar </w:t>
      </w:r>
      <w:r w:rsidRPr="007D45E3">
        <w:rPr>
          <w:i/>
          <w:iCs/>
          <w:sz w:val="20"/>
        </w:rPr>
        <w:t>to other titles</w:t>
      </w:r>
      <w:r w:rsidRPr="007D45E3">
        <w:rPr>
          <w:sz w:val="20"/>
        </w:rPr>
        <w:t xml:space="preserve">” can be explicitly misleading, regardless of artistic relevance. </w:t>
      </w:r>
      <w:r w:rsidRPr="007D45E3">
        <w:rPr>
          <w:i/>
          <w:iCs/>
          <w:sz w:val="20"/>
        </w:rPr>
        <w:t>Id.</w:t>
      </w:r>
      <w:r w:rsidRPr="007D45E3">
        <w:rPr>
          <w:sz w:val="20"/>
        </w:rPr>
        <w:t xml:space="preserve"> at 999 n.5 (emphasis added). Indeed, the potential for explicitly misleading usage is especially strong when the senior user and the junior user both use the mark in similar artistic expressions. Were we to reflexively apply </w:t>
      </w:r>
      <w:r w:rsidRPr="007D45E3">
        <w:rPr>
          <w:i/>
          <w:iCs/>
          <w:sz w:val="20"/>
        </w:rPr>
        <w:t>Rogers</w:t>
      </w:r>
      <w:r w:rsidRPr="007D45E3">
        <w:rPr>
          <w:sz w:val="20"/>
        </w:rPr>
        <w:t>’s second prong in this circumstance, an artist who uses a trademark to identify the source of his or her product would be at a significant disadvantage in warding off infringement by another artist, merely because the product being created by the other artist is also “art.” That would turn trademark law on its head.</w:t>
      </w:r>
    </w:p>
    <w:p w:rsidR="007D45E3" w:rsidRPr="007D45E3" w:rsidRDefault="007D45E3" w:rsidP="007D45E3">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36</w:t>
      </w:r>
      <w:r w:rsidRPr="007E2B51">
        <w:rPr>
          <w:color w:val="808080"/>
          <w:sz w:val="20"/>
        </w:rPr>
        <w:fldChar w:fldCharType="end"/>
      </w:r>
      <w:r w:rsidRPr="007E2B51">
        <w:rPr>
          <w:color w:val="808080"/>
          <w:sz w:val="20"/>
        </w:rPr>
        <w:t>]</w:t>
      </w:r>
      <w:r w:rsidRPr="007E2B51">
        <w:rPr>
          <w:sz w:val="20"/>
        </w:rPr>
        <w:t xml:space="preserve"> </w:t>
      </w:r>
      <w:r w:rsidRPr="007D45E3">
        <w:rPr>
          <w:sz w:val="20"/>
        </w:rPr>
        <w:t xml:space="preserve">A second consideration relevant to the “explicitly misleading” inquiry is the extent to which the junior user has added his or her own expressive content to the work beyond the mark itself. As </w:t>
      </w:r>
      <w:r w:rsidRPr="007D45E3">
        <w:rPr>
          <w:i/>
          <w:iCs/>
          <w:sz w:val="20"/>
        </w:rPr>
        <w:t>Rogers</w:t>
      </w:r>
      <w:r w:rsidRPr="007D45E3">
        <w:rPr>
          <w:sz w:val="20"/>
        </w:rPr>
        <w:t xml:space="preserve"> explains, the concern that consumers will not be “misled as to the source of [a] </w:t>
      </w:r>
      <w:bookmarkStart w:id="40" w:name="co_pp_sp_506_271_1"/>
      <w:bookmarkEnd w:id="40"/>
      <w:r w:rsidRPr="007D45E3">
        <w:rPr>
          <w:sz w:val="20"/>
        </w:rPr>
        <w:t xml:space="preserve">product” is generally allayed when the mark is used as only one component of a junior user’s larger expressive creation, such that the use of the mark at most “implicitly suggest[s]” that the product is associated with the mark’s owner. </w:t>
      </w:r>
      <w:r w:rsidRPr="007D45E3">
        <w:rPr>
          <w:i/>
          <w:iCs/>
          <w:sz w:val="20"/>
        </w:rPr>
        <w:t>Id.</w:t>
      </w:r>
      <w:r w:rsidRPr="007D45E3">
        <w:rPr>
          <w:sz w:val="20"/>
        </w:rPr>
        <w:t xml:space="preserve"> at 998–99; </w:t>
      </w:r>
      <w:r w:rsidRPr="007D45E3">
        <w:rPr>
          <w:i/>
          <w:iCs/>
          <w:sz w:val="20"/>
        </w:rPr>
        <w:t>see</w:t>
      </w:r>
      <w:r w:rsidRPr="007D45E3">
        <w:rPr>
          <w:sz w:val="20"/>
        </w:rPr>
        <w:t xml:space="preserve"> 6 MCCARTHY § 31:144.50 (“[T]he deception or confusion must be relatively obvious and express, not subtle and implied.”). But using a mark as the centerpiece of an expressive work itself, unadorned with any artistic contribution by the junior user, may reflect nothing more than an effort to “induce the sale of goods or services” by confusion or “lessen[ ] the distinctiveness and thus the commercial value of” a competitor’s mark. </w:t>
      </w:r>
      <w:r w:rsidRPr="007D45E3">
        <w:rPr>
          <w:i/>
          <w:iCs/>
          <w:sz w:val="20"/>
        </w:rPr>
        <w:t>S.F. Arts &amp; Athletics, Inc. v. U.S. Olympic Comm.</w:t>
      </w:r>
      <w:r w:rsidRPr="007D45E3">
        <w:rPr>
          <w:sz w:val="20"/>
        </w:rPr>
        <w:t xml:space="preserve">, 483 U.S. 522, 539, 107 </w:t>
      </w:r>
      <w:proofErr w:type="spellStart"/>
      <w:r w:rsidRPr="007D45E3">
        <w:rPr>
          <w:sz w:val="20"/>
        </w:rPr>
        <w:t>S.Ct</w:t>
      </w:r>
      <w:proofErr w:type="spellEnd"/>
      <w:r w:rsidRPr="007D45E3">
        <w:rPr>
          <w:sz w:val="20"/>
        </w:rPr>
        <w:t>. 2971, 97 L.Ed.2d 427 (1987).</w:t>
      </w:r>
    </w:p>
    <w:p w:rsidR="007D45E3" w:rsidRPr="007D45E3" w:rsidRDefault="007D45E3" w:rsidP="007D45E3">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37</w:t>
      </w:r>
      <w:r w:rsidRPr="007E2B51">
        <w:rPr>
          <w:color w:val="808080"/>
          <w:sz w:val="20"/>
        </w:rPr>
        <w:fldChar w:fldCharType="end"/>
      </w:r>
      <w:r w:rsidRPr="007E2B51">
        <w:rPr>
          <w:color w:val="808080"/>
          <w:sz w:val="20"/>
        </w:rPr>
        <w:t>]</w:t>
      </w:r>
      <w:r w:rsidRPr="007E2B51">
        <w:rPr>
          <w:sz w:val="20"/>
        </w:rPr>
        <w:t xml:space="preserve"> </w:t>
      </w:r>
      <w:r w:rsidRPr="007D45E3">
        <w:rPr>
          <w:sz w:val="20"/>
        </w:rPr>
        <w:t>Our cases support this approach. In cases involving the use of a mark in the title of an expressive work—such as the title of a movie (</w:t>
      </w:r>
      <w:r w:rsidRPr="007D45E3">
        <w:rPr>
          <w:i/>
          <w:iCs/>
          <w:sz w:val="20"/>
        </w:rPr>
        <w:t>Rogers</w:t>
      </w:r>
      <w:r w:rsidRPr="007D45E3">
        <w:rPr>
          <w:sz w:val="20"/>
        </w:rPr>
        <w:t>), a song (</w:t>
      </w:r>
      <w:r w:rsidRPr="007D45E3">
        <w:rPr>
          <w:i/>
          <w:iCs/>
          <w:sz w:val="20"/>
        </w:rPr>
        <w:t>MCA Records</w:t>
      </w:r>
      <w:r w:rsidRPr="007D45E3">
        <w:rPr>
          <w:sz w:val="20"/>
        </w:rPr>
        <w:t>), a photograph (</w:t>
      </w:r>
      <w:r w:rsidRPr="007D45E3">
        <w:rPr>
          <w:i/>
          <w:iCs/>
          <w:sz w:val="20"/>
        </w:rPr>
        <w:t>Walking Mountain</w:t>
      </w:r>
      <w:r w:rsidRPr="007D45E3">
        <w:rPr>
          <w:sz w:val="20"/>
        </w:rPr>
        <w:t>), or a television show (</w:t>
      </w:r>
      <w:r w:rsidRPr="007D45E3">
        <w:rPr>
          <w:i/>
          <w:iCs/>
          <w:sz w:val="20"/>
        </w:rPr>
        <w:t>Twentieth Century Fox</w:t>
      </w:r>
      <w:r w:rsidRPr="007D45E3">
        <w:rPr>
          <w:sz w:val="20"/>
        </w:rPr>
        <w:t xml:space="preserve">)—the mark obviously served as only one “element of the [work] and the [junior user’s] artistic expressions.” </w:t>
      </w:r>
      <w:r w:rsidRPr="007D45E3">
        <w:rPr>
          <w:i/>
          <w:iCs/>
          <w:sz w:val="20"/>
        </w:rPr>
        <w:t>Rogers</w:t>
      </w:r>
      <w:r w:rsidRPr="007D45E3">
        <w:rPr>
          <w:sz w:val="20"/>
        </w:rPr>
        <w:t xml:space="preserve">, 875 F.2d at 1001. Likewise, in the cases extending </w:t>
      </w:r>
      <w:r w:rsidRPr="007D45E3">
        <w:rPr>
          <w:i/>
          <w:iCs/>
          <w:sz w:val="20"/>
        </w:rPr>
        <w:t>Rogers</w:t>
      </w:r>
      <w:r w:rsidRPr="007D45E3">
        <w:rPr>
          <w:sz w:val="20"/>
        </w:rPr>
        <w:t xml:space="preserve"> to instances in which a mark was incorporated into the body of an expressive work, we made clear that the mark served as only one component of the larger expressive work. In </w:t>
      </w:r>
      <w:proofErr w:type="spellStart"/>
      <w:r w:rsidRPr="007D45E3">
        <w:rPr>
          <w:i/>
          <w:iCs/>
          <w:sz w:val="20"/>
        </w:rPr>
        <w:t>E.S.S</w:t>
      </w:r>
      <w:proofErr w:type="spellEnd"/>
      <w:r w:rsidRPr="007D45E3">
        <w:rPr>
          <w:i/>
          <w:iCs/>
          <w:sz w:val="20"/>
        </w:rPr>
        <w:t>.</w:t>
      </w:r>
      <w:r w:rsidRPr="007D45E3">
        <w:rPr>
          <w:sz w:val="20"/>
        </w:rPr>
        <w:t xml:space="preserve">, the use of the Pig Pen strip club was “quite incidental to the overall story” of the video game, such that it was not the game’s “main selling point.” 547 F.3d at 1100–01. And in </w:t>
      </w:r>
      <w:r w:rsidRPr="007D45E3">
        <w:rPr>
          <w:i/>
          <w:iCs/>
          <w:sz w:val="20"/>
        </w:rPr>
        <w:t>Brown</w:t>
      </w:r>
      <w:r w:rsidRPr="007D45E3">
        <w:rPr>
          <w:sz w:val="20"/>
        </w:rPr>
        <w:t xml:space="preserve">, Jim Brown was one of “thousands of current and former NFL players” appearing in the game, and nothing on the face of the game explicitly engendered consumer misunderstanding. 724 F.3d at 1244–46. Indeed, EA altered Brown’s likeness in certain versions of the game, an artistic spin that “made consumers </w:t>
      </w:r>
      <w:r w:rsidRPr="007D45E3">
        <w:rPr>
          <w:i/>
          <w:iCs/>
          <w:sz w:val="20"/>
        </w:rPr>
        <w:t>less</w:t>
      </w:r>
      <w:r w:rsidRPr="007D45E3">
        <w:rPr>
          <w:sz w:val="20"/>
        </w:rPr>
        <w:t xml:space="preserve"> likely to believe that Brown was involved.” </w:t>
      </w:r>
      <w:r w:rsidRPr="007D45E3">
        <w:rPr>
          <w:i/>
          <w:iCs/>
          <w:sz w:val="20"/>
        </w:rPr>
        <w:t>Id.</w:t>
      </w:r>
      <w:r w:rsidRPr="007D45E3">
        <w:rPr>
          <w:sz w:val="20"/>
        </w:rPr>
        <w:t xml:space="preserve"> at 1246–47.</w:t>
      </w:r>
    </w:p>
    <w:p w:rsidR="007D45E3" w:rsidRPr="007D45E3" w:rsidRDefault="007D45E3" w:rsidP="007D45E3">
      <w:pPr>
        <w:rPr>
          <w:sz w:val="20"/>
        </w:rPr>
      </w:pPr>
      <w:bookmarkStart w:id="41" w:name="co_anchor_B172046053674_1"/>
      <w:bookmarkEnd w:id="41"/>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38</w:t>
      </w:r>
      <w:r w:rsidRPr="007E2B51">
        <w:rPr>
          <w:color w:val="808080"/>
          <w:sz w:val="20"/>
        </w:rPr>
        <w:fldChar w:fldCharType="end"/>
      </w:r>
      <w:r w:rsidRPr="007E2B51">
        <w:rPr>
          <w:color w:val="808080"/>
          <w:sz w:val="20"/>
        </w:rPr>
        <w:t>]</w:t>
      </w:r>
      <w:r w:rsidRPr="007E2B51">
        <w:rPr>
          <w:sz w:val="20"/>
        </w:rPr>
        <w:t xml:space="preserve"> </w:t>
      </w:r>
      <w:r w:rsidRPr="007D45E3">
        <w:rPr>
          <w:sz w:val="20"/>
        </w:rPr>
        <w:t xml:space="preserve">In this case, we cannot decide as a matter of law that defendants’ use of Gordon’s mark was not explicitly misleading. There is at least a triable issue of fact as to whether defendants simply used Gordon’s mark with minimal artistic expression of their own, and used it in the same way that Gordon was using it—to identify the source of humorous greeting cards in which the bottom line is “Honey Badger don’t care.” Gordon has introduced evidence that he sold greeting cards and other merchandise with his mark; that in at least some of defendants’ cards, Gordon’s mark was used without any other text; and that defendants used the mark knowing that consumers rely on marks on the inside of cards to identify their source. Gordon’s evidence is not bulletproof; for example, defendants’ cards generally use a slight variation of the </w:t>
      </w:r>
      <w:proofErr w:type="spellStart"/>
      <w:r w:rsidRPr="007D45E3">
        <w:rPr>
          <w:sz w:val="20"/>
        </w:rPr>
        <w:t>HBDGS</w:t>
      </w:r>
      <w:proofErr w:type="spellEnd"/>
      <w:r w:rsidRPr="007D45E3">
        <w:rPr>
          <w:sz w:val="20"/>
        </w:rPr>
        <w:t xml:space="preserve"> phrase, and they list defendants’ website on the back cover. But a jury could conclude that defendants’ use of Gordon’s mark on one or more of their cards is “explicitly misleading as to [their] source.” </w:t>
      </w:r>
      <w:r w:rsidRPr="007D45E3">
        <w:rPr>
          <w:i/>
          <w:iCs/>
          <w:sz w:val="20"/>
        </w:rPr>
        <w:t>Rogers</w:t>
      </w:r>
      <w:r w:rsidRPr="007D45E3">
        <w:rPr>
          <w:sz w:val="20"/>
        </w:rPr>
        <w:t>, 875 F.2d at 999. </w:t>
      </w:r>
    </w:p>
    <w:p w:rsidR="007D45E3" w:rsidRPr="00262080" w:rsidRDefault="007D45E3" w:rsidP="00262080">
      <w:pPr>
        <w:rPr>
          <w:sz w:val="20"/>
        </w:rPr>
      </w:pPr>
      <w:r w:rsidRPr="007E2B51">
        <w:rPr>
          <w:color w:val="808080"/>
          <w:sz w:val="20"/>
        </w:rPr>
        <w:lastRenderedPageBreak/>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39</w:t>
      </w:r>
      <w:r w:rsidRPr="007E2B51">
        <w:rPr>
          <w:color w:val="808080"/>
          <w:sz w:val="20"/>
        </w:rPr>
        <w:fldChar w:fldCharType="end"/>
      </w:r>
      <w:r w:rsidRPr="007E2B51">
        <w:rPr>
          <w:color w:val="808080"/>
          <w:sz w:val="20"/>
        </w:rPr>
        <w:t>]</w:t>
      </w:r>
      <w:r w:rsidRPr="007E2B51">
        <w:rPr>
          <w:sz w:val="20"/>
        </w:rPr>
        <w:t xml:space="preserve"> </w:t>
      </w:r>
      <w:r w:rsidRPr="007D45E3">
        <w:rPr>
          <w:sz w:val="20"/>
        </w:rPr>
        <w:t xml:space="preserve">Because we resolve the first </w:t>
      </w:r>
      <w:r w:rsidRPr="007D45E3">
        <w:rPr>
          <w:i/>
          <w:iCs/>
          <w:sz w:val="20"/>
        </w:rPr>
        <w:t>Rogers</w:t>
      </w:r>
      <w:r w:rsidRPr="007D45E3">
        <w:rPr>
          <w:sz w:val="20"/>
        </w:rPr>
        <w:t xml:space="preserve"> prong against Gordon as a matter of law, a jury may find for Gordon only if he proves by a preponderance of the evidence that defendants’ use of his mark is explicitly misleading as to the source or content of the cards.</w:t>
      </w:r>
      <w:bookmarkStart w:id="42" w:name="co_fnRef_B00132046053674_ID0E32CI_1"/>
      <w:bookmarkEnd w:id="42"/>
      <w:r>
        <w:rPr>
          <w:rStyle w:val="FootnoteReference"/>
          <w:sz w:val="20"/>
        </w:rPr>
        <w:footnoteReference w:customMarkFollows="1" w:id="7"/>
        <w:t>11</w:t>
      </w:r>
    </w:p>
    <w:p w:rsidR="00262080" w:rsidRPr="00262080" w:rsidRDefault="00262080" w:rsidP="003D6B4C">
      <w:pPr>
        <w:pStyle w:val="Centered"/>
      </w:pPr>
      <w:bookmarkStart w:id="43" w:name="co_anchor_B112045151019_1"/>
      <w:bookmarkEnd w:id="43"/>
      <w:r w:rsidRPr="00262080">
        <w:t>V</w:t>
      </w:r>
    </w:p>
    <w:p w:rsidR="00262080" w:rsidRPr="00262080" w:rsidRDefault="006A2B5B" w:rsidP="00262080">
      <w:pPr>
        <w:rPr>
          <w:sz w:val="20"/>
        </w:rPr>
      </w:pPr>
      <w:r w:rsidRPr="007E2B51">
        <w:rPr>
          <w:color w:val="808080"/>
          <w:sz w:val="20"/>
        </w:rPr>
        <w:t>[</w:t>
      </w:r>
      <w:r w:rsidRPr="007E2B51">
        <w:rPr>
          <w:color w:val="808080"/>
          <w:sz w:val="20"/>
        </w:rPr>
        <w:fldChar w:fldCharType="begin"/>
      </w:r>
      <w:r w:rsidRPr="007E2B51">
        <w:rPr>
          <w:color w:val="808080"/>
          <w:sz w:val="20"/>
        </w:rPr>
        <w:instrText xml:space="preserve"> SEQ numlist \# "0" \n \* MERGEFORMAT \* MERGEFORMAT </w:instrText>
      </w:r>
      <w:r w:rsidRPr="007E2B51">
        <w:rPr>
          <w:color w:val="808080"/>
          <w:sz w:val="20"/>
        </w:rPr>
        <w:fldChar w:fldCharType="separate"/>
      </w:r>
      <w:r w:rsidR="00C93AC7">
        <w:rPr>
          <w:noProof/>
          <w:color w:val="808080"/>
          <w:sz w:val="20"/>
        </w:rPr>
        <w:t>40</w:t>
      </w:r>
      <w:r w:rsidRPr="007E2B51">
        <w:rPr>
          <w:color w:val="808080"/>
          <w:sz w:val="20"/>
        </w:rPr>
        <w:fldChar w:fldCharType="end"/>
      </w:r>
      <w:r w:rsidRPr="007E2B51">
        <w:rPr>
          <w:color w:val="808080"/>
          <w:sz w:val="20"/>
        </w:rPr>
        <w:t>]</w:t>
      </w:r>
      <w:r w:rsidRPr="007E2B51">
        <w:rPr>
          <w:sz w:val="20"/>
        </w:rPr>
        <w:t xml:space="preserve"> </w:t>
      </w:r>
      <w:r w:rsidR="00262080" w:rsidRPr="00262080">
        <w:rPr>
          <w:sz w:val="20"/>
        </w:rPr>
        <w:t xml:space="preserve">For the foregoing reasons, we </w:t>
      </w:r>
      <w:r w:rsidR="00262080" w:rsidRPr="00262080">
        <w:rPr>
          <w:b/>
          <w:bCs/>
          <w:sz w:val="20"/>
        </w:rPr>
        <w:t>REVERSE</w:t>
      </w:r>
      <w:r w:rsidR="00262080" w:rsidRPr="00262080">
        <w:rPr>
          <w:sz w:val="20"/>
        </w:rPr>
        <w:t xml:space="preserve"> and </w:t>
      </w:r>
      <w:r w:rsidR="00262080" w:rsidRPr="00262080">
        <w:rPr>
          <w:b/>
          <w:bCs/>
          <w:sz w:val="20"/>
        </w:rPr>
        <w:t>REMAND</w:t>
      </w:r>
      <w:r w:rsidR="00262080" w:rsidRPr="00262080">
        <w:rPr>
          <w:sz w:val="20"/>
        </w:rPr>
        <w:t xml:space="preserve"> to the district court for further proceedings consistent with this opinion.</w:t>
      </w:r>
    </w:p>
    <w:p w:rsidR="00262080" w:rsidRPr="00262080" w:rsidRDefault="00262080" w:rsidP="00262080">
      <w:pPr>
        <w:rPr>
          <w:sz w:val="20"/>
        </w:rPr>
      </w:pPr>
      <w:r w:rsidRPr="00262080">
        <w:rPr>
          <w:sz w:val="20"/>
        </w:rPr>
        <w:t> </w:t>
      </w:r>
    </w:p>
    <w:p w:rsidR="00BA1E0C" w:rsidRPr="0065505B" w:rsidRDefault="00BA1E0C" w:rsidP="00262080">
      <w:pPr>
        <w:rPr>
          <w:sz w:val="20"/>
        </w:rPr>
      </w:pPr>
    </w:p>
    <w:sectPr w:rsidR="00BA1E0C" w:rsidRPr="0065505B" w:rsidSect="00262080">
      <w:headerReference w:type="default" r:id="rId10"/>
      <w:footerReference w:type="default" r:id="rId11"/>
      <w:pgSz w:w="12240" w:h="15840" w:code="1"/>
      <w:pgMar w:top="1440" w:right="2160" w:bottom="1440" w:left="216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717" w:rsidRDefault="00211717" w:rsidP="00743715">
      <w:r>
        <w:separator/>
      </w:r>
    </w:p>
  </w:endnote>
  <w:endnote w:type="continuationSeparator" w:id="0">
    <w:p w:rsidR="00211717" w:rsidRDefault="00211717" w:rsidP="007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96" w:rsidRPr="00850696" w:rsidRDefault="00850696">
    <w:pPr>
      <w:pStyle w:val="Footer"/>
      <w:jc w:val="center"/>
      <w:rPr>
        <w:sz w:val="20"/>
      </w:rPr>
    </w:pPr>
    <w:r w:rsidRPr="00850696">
      <w:rPr>
        <w:sz w:val="20"/>
      </w:rPr>
      <w:fldChar w:fldCharType="begin"/>
    </w:r>
    <w:r w:rsidRPr="00850696">
      <w:rPr>
        <w:sz w:val="20"/>
      </w:rPr>
      <w:instrText xml:space="preserve"> PAGE   \* MERGEFORMAT </w:instrText>
    </w:r>
    <w:r w:rsidRPr="00850696">
      <w:rPr>
        <w:sz w:val="20"/>
      </w:rPr>
      <w:fldChar w:fldCharType="separate"/>
    </w:r>
    <w:r w:rsidR="00C93AC7">
      <w:rPr>
        <w:noProof/>
        <w:sz w:val="20"/>
      </w:rPr>
      <w:t>11</w:t>
    </w:r>
    <w:r w:rsidRPr="00850696">
      <w:rPr>
        <w:noProof/>
        <w:sz w:val="20"/>
      </w:rPr>
      <w:fldChar w:fldCharType="end"/>
    </w:r>
  </w:p>
  <w:p w:rsidR="00850696" w:rsidRDefault="00850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717" w:rsidRDefault="00211717" w:rsidP="00743715">
      <w:r>
        <w:separator/>
      </w:r>
    </w:p>
  </w:footnote>
  <w:footnote w:type="continuationSeparator" w:id="0">
    <w:p w:rsidR="00211717" w:rsidRDefault="00211717" w:rsidP="00743715">
      <w:r>
        <w:continuationSeparator/>
      </w:r>
    </w:p>
  </w:footnote>
  <w:footnote w:id="1">
    <w:p w:rsidR="00850696" w:rsidRPr="007D45E3" w:rsidRDefault="00850696" w:rsidP="00262080">
      <w:pPr>
        <w:rPr>
          <w:sz w:val="20"/>
        </w:rPr>
      </w:pPr>
      <w:r w:rsidRPr="007D45E3">
        <w:rPr>
          <w:rStyle w:val="FootnoteReference"/>
          <w:sz w:val="20"/>
        </w:rPr>
        <w:t>3</w:t>
      </w:r>
      <w:r w:rsidRPr="007D45E3">
        <w:rPr>
          <w:sz w:val="20"/>
        </w:rPr>
        <w:t xml:space="preserve"> Gordon’s video refers to a honey badger getting stung by bees and eating a cobra—e.g., “Now look, here’s a house full of bees. You think the honey badger cares? It doesn’t give a s---.... But look the honey badger doesn’t care, it’s getting stung like a thousand times. It doesn’t give a s--- .... Look! Here comes a fierce battle between a king cobra and a honey badger. ... And of course, what does a honey badger have to eat for the next few weeks? Cobra.”</w:t>
      </w:r>
    </w:p>
  </w:footnote>
  <w:footnote w:id="2">
    <w:p w:rsidR="00264AEF" w:rsidRPr="007D45E3" w:rsidRDefault="00264AEF" w:rsidP="00264AEF">
      <w:pPr>
        <w:pStyle w:val="FootnoteText"/>
        <w:rPr>
          <w:sz w:val="20"/>
        </w:rPr>
      </w:pPr>
      <w:r w:rsidRPr="007D45E3">
        <w:rPr>
          <w:rStyle w:val="FootnoteReference"/>
          <w:sz w:val="20"/>
        </w:rPr>
        <w:t>5</w:t>
      </w:r>
      <w:r w:rsidRPr="007D45E3">
        <w:rPr>
          <w:sz w:val="20"/>
        </w:rPr>
        <w:t xml:space="preserve"> The district court declined to distinguish between </w:t>
      </w:r>
      <w:proofErr w:type="spellStart"/>
      <w:r w:rsidRPr="007D45E3">
        <w:rPr>
          <w:sz w:val="20"/>
        </w:rPr>
        <w:t>HBDC</w:t>
      </w:r>
      <w:proofErr w:type="spellEnd"/>
      <w:r w:rsidRPr="007D45E3">
        <w:rPr>
          <w:sz w:val="20"/>
        </w:rPr>
        <w:t xml:space="preserve">, which is a registered trademark, and </w:t>
      </w:r>
      <w:proofErr w:type="spellStart"/>
      <w:r w:rsidRPr="007D45E3">
        <w:rPr>
          <w:sz w:val="20"/>
        </w:rPr>
        <w:t>HBDGS</w:t>
      </w:r>
      <w:proofErr w:type="spellEnd"/>
      <w:r w:rsidRPr="007D45E3">
        <w:rPr>
          <w:sz w:val="20"/>
        </w:rPr>
        <w:t xml:space="preserve">, which is not. We assume for purposes of this decision that </w:t>
      </w:r>
      <w:proofErr w:type="spellStart"/>
      <w:r w:rsidRPr="007D45E3">
        <w:rPr>
          <w:sz w:val="20"/>
        </w:rPr>
        <w:t>HBDC</w:t>
      </w:r>
      <w:proofErr w:type="spellEnd"/>
      <w:r w:rsidRPr="007D45E3">
        <w:rPr>
          <w:sz w:val="20"/>
        </w:rPr>
        <w:t xml:space="preserve"> and </w:t>
      </w:r>
      <w:proofErr w:type="spellStart"/>
      <w:r w:rsidRPr="007D45E3">
        <w:rPr>
          <w:sz w:val="20"/>
        </w:rPr>
        <w:t>HBDGS</w:t>
      </w:r>
      <w:proofErr w:type="spellEnd"/>
      <w:r w:rsidRPr="007D45E3">
        <w:rPr>
          <w:sz w:val="20"/>
        </w:rPr>
        <w:t xml:space="preserve"> are both protected marks, even if </w:t>
      </w:r>
      <w:proofErr w:type="spellStart"/>
      <w:r w:rsidRPr="007D45E3">
        <w:rPr>
          <w:sz w:val="20"/>
        </w:rPr>
        <w:t>HBDGS</w:t>
      </w:r>
      <w:proofErr w:type="spellEnd"/>
      <w:r w:rsidRPr="007D45E3">
        <w:rPr>
          <w:sz w:val="20"/>
        </w:rPr>
        <w:t xml:space="preserve"> is not registered. </w:t>
      </w:r>
      <w:r w:rsidRPr="007D45E3">
        <w:rPr>
          <w:i/>
          <w:iCs/>
          <w:sz w:val="20"/>
        </w:rPr>
        <w:t xml:space="preserve">See </w:t>
      </w:r>
      <w:proofErr w:type="spellStart"/>
      <w:r w:rsidRPr="007D45E3">
        <w:rPr>
          <w:i/>
          <w:iCs/>
          <w:sz w:val="20"/>
        </w:rPr>
        <w:t>Matal</w:t>
      </w:r>
      <w:proofErr w:type="spellEnd"/>
      <w:r w:rsidRPr="007D45E3">
        <w:rPr>
          <w:i/>
          <w:iCs/>
          <w:sz w:val="20"/>
        </w:rPr>
        <w:t xml:space="preserve"> v. Tam</w:t>
      </w:r>
      <w:r w:rsidRPr="007D45E3">
        <w:rPr>
          <w:sz w:val="20"/>
        </w:rPr>
        <w:t xml:space="preserve">, ––– U.S. ––––, 137 </w:t>
      </w:r>
      <w:proofErr w:type="spellStart"/>
      <w:r w:rsidRPr="007D45E3">
        <w:rPr>
          <w:sz w:val="20"/>
        </w:rPr>
        <w:t>S.Ct</w:t>
      </w:r>
      <w:proofErr w:type="spellEnd"/>
      <w:r w:rsidRPr="007D45E3">
        <w:rPr>
          <w:sz w:val="20"/>
        </w:rPr>
        <w:t xml:space="preserve">. 1744, 1752 (2017) (explaining that “an unregistered trademark can be enforced against would-be infringers” under 15 </w:t>
      </w:r>
      <w:proofErr w:type="spellStart"/>
      <w:r w:rsidRPr="007D45E3">
        <w:rPr>
          <w:sz w:val="20"/>
        </w:rPr>
        <w:t>U.S.C</w:t>
      </w:r>
      <w:proofErr w:type="spellEnd"/>
      <w:r w:rsidRPr="007D45E3">
        <w:rPr>
          <w:sz w:val="20"/>
        </w:rPr>
        <w:t xml:space="preserve">. § 1125(a) ); </w:t>
      </w:r>
      <w:r w:rsidRPr="007D45E3">
        <w:rPr>
          <w:i/>
          <w:iCs/>
          <w:sz w:val="20"/>
        </w:rPr>
        <w:t>Brown v. Elec. Arts, Inc.</w:t>
      </w:r>
      <w:r w:rsidRPr="007D45E3">
        <w:rPr>
          <w:sz w:val="20"/>
        </w:rPr>
        <w:t xml:space="preserve">, 724 F.3d 1235, 1241 (9th Cir. 2013) (noting that the </w:t>
      </w:r>
      <w:r w:rsidRPr="007D45E3">
        <w:rPr>
          <w:i/>
          <w:iCs/>
          <w:sz w:val="20"/>
        </w:rPr>
        <w:t>Rogers</w:t>
      </w:r>
      <w:r w:rsidRPr="007D45E3">
        <w:rPr>
          <w:sz w:val="20"/>
        </w:rPr>
        <w:t xml:space="preserve"> test applies “in [§ 1125(a)] cases involving expressive works”). Gordon claimed infringement under § 1125(a) in his complaint, and defendants challenged Gordon’s ownership of </w:t>
      </w:r>
      <w:proofErr w:type="spellStart"/>
      <w:r w:rsidRPr="007D45E3">
        <w:rPr>
          <w:sz w:val="20"/>
        </w:rPr>
        <w:t>HBDGS</w:t>
      </w:r>
      <w:proofErr w:type="spellEnd"/>
      <w:r w:rsidRPr="007D45E3">
        <w:rPr>
          <w:sz w:val="20"/>
        </w:rPr>
        <w:t xml:space="preserve"> as a protected mark in their motion for summary judgment. The district court is free to revisit this issue on remand.</w:t>
      </w:r>
    </w:p>
    <w:p w:rsidR="00264AEF" w:rsidRPr="007D45E3" w:rsidRDefault="00264AEF">
      <w:pPr>
        <w:pStyle w:val="FootnoteText"/>
        <w:rPr>
          <w:sz w:val="20"/>
        </w:rPr>
      </w:pPr>
    </w:p>
  </w:footnote>
  <w:footnote w:id="3">
    <w:p w:rsidR="00FE58A6" w:rsidRPr="007D45E3" w:rsidRDefault="00FE58A6">
      <w:pPr>
        <w:pStyle w:val="FootnoteText"/>
        <w:rPr>
          <w:sz w:val="20"/>
        </w:rPr>
      </w:pPr>
      <w:r w:rsidRPr="007D45E3">
        <w:rPr>
          <w:rStyle w:val="FootnoteReference"/>
          <w:sz w:val="20"/>
        </w:rPr>
        <w:t>7</w:t>
      </w:r>
      <w:r w:rsidRPr="007D45E3">
        <w:rPr>
          <w:sz w:val="20"/>
        </w:rPr>
        <w:t xml:space="preserve"> We have been careful not to “conflate[ ] the [‘explicitly misleading’] prong of the </w:t>
      </w:r>
      <w:r w:rsidRPr="007D45E3">
        <w:rPr>
          <w:i/>
          <w:iCs/>
          <w:sz w:val="20"/>
        </w:rPr>
        <w:t>Rogers</w:t>
      </w:r>
      <w:r w:rsidRPr="007D45E3">
        <w:rPr>
          <w:sz w:val="20"/>
        </w:rPr>
        <w:t xml:space="preserve"> test with the general </w:t>
      </w:r>
      <w:proofErr w:type="spellStart"/>
      <w:r w:rsidRPr="007D45E3">
        <w:rPr>
          <w:i/>
          <w:iCs/>
          <w:sz w:val="20"/>
        </w:rPr>
        <w:t>Sleekcraft</w:t>
      </w:r>
      <w:proofErr w:type="spellEnd"/>
      <w:r w:rsidRPr="007D45E3">
        <w:rPr>
          <w:sz w:val="20"/>
        </w:rPr>
        <w:t xml:space="preserve"> likelihood-of-confusion test,” </w:t>
      </w:r>
      <w:r w:rsidRPr="007D45E3">
        <w:rPr>
          <w:i/>
          <w:iCs/>
          <w:sz w:val="20"/>
        </w:rPr>
        <w:t>Twentieth Century Fox</w:t>
      </w:r>
      <w:r w:rsidRPr="007D45E3">
        <w:rPr>
          <w:sz w:val="20"/>
        </w:rPr>
        <w:t xml:space="preserve">, 875 F.3d at 1199, but it bears noting that </w:t>
      </w:r>
      <w:r w:rsidRPr="007D45E3">
        <w:rPr>
          <w:i/>
          <w:iCs/>
          <w:sz w:val="20"/>
        </w:rPr>
        <w:t>Twentieth Century Fox</w:t>
      </w:r>
      <w:r w:rsidRPr="007D45E3">
        <w:rPr>
          <w:sz w:val="20"/>
        </w:rPr>
        <w:t xml:space="preserve"> made this distinction to ensure that the likelihood-of-confusion test did not dilute </w:t>
      </w:r>
      <w:r w:rsidRPr="007D45E3">
        <w:rPr>
          <w:i/>
          <w:iCs/>
          <w:sz w:val="20"/>
        </w:rPr>
        <w:t>Rogers</w:t>
      </w:r>
      <w:r w:rsidRPr="007D45E3">
        <w:rPr>
          <w:sz w:val="20"/>
        </w:rPr>
        <w:t xml:space="preserve">’s explicitly misleading prong. Other circuits have noted that </w:t>
      </w:r>
      <w:r w:rsidRPr="007D45E3">
        <w:rPr>
          <w:i/>
          <w:iCs/>
          <w:sz w:val="20"/>
        </w:rPr>
        <w:t>Rogers</w:t>
      </w:r>
      <w:r w:rsidRPr="007D45E3">
        <w:rPr>
          <w:sz w:val="20"/>
        </w:rPr>
        <w:t xml:space="preserve">’s second prong is essentially a more exacting version of the likelihood-of-confusion test. </w:t>
      </w:r>
      <w:r w:rsidRPr="007D45E3">
        <w:rPr>
          <w:i/>
          <w:iCs/>
          <w:sz w:val="20"/>
        </w:rPr>
        <w:t xml:space="preserve">See Westchester Media v. </w:t>
      </w:r>
      <w:proofErr w:type="spellStart"/>
      <w:r w:rsidRPr="007D45E3">
        <w:rPr>
          <w:i/>
          <w:iCs/>
          <w:sz w:val="20"/>
        </w:rPr>
        <w:t>PRL</w:t>
      </w:r>
      <w:proofErr w:type="spellEnd"/>
      <w:r w:rsidRPr="007D45E3">
        <w:rPr>
          <w:i/>
          <w:iCs/>
          <w:sz w:val="20"/>
        </w:rPr>
        <w:t xml:space="preserve"> USA Holdings, Inc.</w:t>
      </w:r>
      <w:r w:rsidRPr="007D45E3">
        <w:rPr>
          <w:sz w:val="20"/>
        </w:rPr>
        <w:t xml:space="preserve">, 214 F.3d 658, 665 (5th Cir. 2000); </w:t>
      </w:r>
      <w:r w:rsidRPr="007D45E3">
        <w:rPr>
          <w:i/>
          <w:iCs/>
          <w:sz w:val="20"/>
        </w:rPr>
        <w:t xml:space="preserve">Twin Peaks Prods., Inc. v. </w:t>
      </w:r>
      <w:proofErr w:type="spellStart"/>
      <w:r w:rsidRPr="007D45E3">
        <w:rPr>
          <w:i/>
          <w:iCs/>
          <w:sz w:val="20"/>
        </w:rPr>
        <w:t>Publ’ns</w:t>
      </w:r>
      <w:proofErr w:type="spellEnd"/>
      <w:r w:rsidRPr="007D45E3">
        <w:rPr>
          <w:i/>
          <w:iCs/>
          <w:sz w:val="20"/>
        </w:rPr>
        <w:t xml:space="preserve"> Int’l, Ltd.</w:t>
      </w:r>
      <w:r w:rsidRPr="007D45E3">
        <w:rPr>
          <w:sz w:val="20"/>
        </w:rPr>
        <w:t xml:space="preserve">, 996 F.2d 1366, 1379 (2d Cir. 1993). A plaintiff who satisfies the “explicitly misleading” portion of </w:t>
      </w:r>
      <w:r w:rsidRPr="007D45E3">
        <w:rPr>
          <w:i/>
          <w:iCs/>
          <w:sz w:val="20"/>
        </w:rPr>
        <w:t>Rogers</w:t>
      </w:r>
      <w:r w:rsidRPr="007D45E3">
        <w:rPr>
          <w:sz w:val="20"/>
        </w:rPr>
        <w:t xml:space="preserve"> should therefore have little difficulty showing a likelihood of confusion.</w:t>
      </w:r>
    </w:p>
  </w:footnote>
  <w:footnote w:id="4">
    <w:p w:rsidR="00FE58A6" w:rsidRPr="007D45E3" w:rsidRDefault="00FE58A6">
      <w:pPr>
        <w:pStyle w:val="FootnoteText"/>
        <w:rPr>
          <w:sz w:val="20"/>
        </w:rPr>
      </w:pPr>
      <w:r w:rsidRPr="007D45E3">
        <w:rPr>
          <w:rStyle w:val="FootnoteReference"/>
          <w:sz w:val="20"/>
        </w:rPr>
        <w:t>8</w:t>
      </w:r>
      <w:r w:rsidRPr="007D45E3">
        <w:rPr>
          <w:sz w:val="20"/>
        </w:rPr>
        <w:t xml:space="preserve"> The </w:t>
      </w:r>
      <w:r w:rsidRPr="007D45E3">
        <w:rPr>
          <w:i/>
          <w:iCs/>
          <w:sz w:val="20"/>
        </w:rPr>
        <w:t>Rogers</w:t>
      </w:r>
      <w:r w:rsidRPr="007D45E3">
        <w:rPr>
          <w:sz w:val="20"/>
        </w:rPr>
        <w:t xml:space="preserve"> test has been adopted in other circuits as well. </w:t>
      </w:r>
      <w:r w:rsidRPr="007D45E3">
        <w:rPr>
          <w:i/>
          <w:iCs/>
          <w:sz w:val="20"/>
        </w:rPr>
        <w:t xml:space="preserve">See Univ. of Ala. Bd. of </w:t>
      </w:r>
      <w:proofErr w:type="spellStart"/>
      <w:r w:rsidRPr="007D45E3">
        <w:rPr>
          <w:i/>
          <w:iCs/>
          <w:sz w:val="20"/>
        </w:rPr>
        <w:t>Trs</w:t>
      </w:r>
      <w:proofErr w:type="spellEnd"/>
      <w:r w:rsidRPr="007D45E3">
        <w:rPr>
          <w:i/>
          <w:iCs/>
          <w:sz w:val="20"/>
        </w:rPr>
        <w:t>. v. New Life Art, Inc.</w:t>
      </w:r>
      <w:r w:rsidRPr="007D45E3">
        <w:rPr>
          <w:sz w:val="20"/>
        </w:rPr>
        <w:t xml:space="preserve">, 683 F.3d 1266, 1278 (11th Cir. 2012); </w:t>
      </w:r>
      <w:r w:rsidRPr="007D45E3">
        <w:rPr>
          <w:i/>
          <w:iCs/>
          <w:sz w:val="20"/>
        </w:rPr>
        <w:t xml:space="preserve">Parks v. </w:t>
      </w:r>
      <w:proofErr w:type="spellStart"/>
      <w:r w:rsidRPr="007D45E3">
        <w:rPr>
          <w:i/>
          <w:iCs/>
          <w:sz w:val="20"/>
        </w:rPr>
        <w:t>LaFace</w:t>
      </w:r>
      <w:proofErr w:type="spellEnd"/>
      <w:r w:rsidRPr="007D45E3">
        <w:rPr>
          <w:i/>
          <w:iCs/>
          <w:sz w:val="20"/>
        </w:rPr>
        <w:t xml:space="preserve"> Records</w:t>
      </w:r>
      <w:r w:rsidRPr="007D45E3">
        <w:rPr>
          <w:sz w:val="20"/>
        </w:rPr>
        <w:t xml:space="preserve">, 329 F.3d 437, 452 (6th Cir. 2003); </w:t>
      </w:r>
      <w:r w:rsidRPr="007D45E3">
        <w:rPr>
          <w:i/>
          <w:iCs/>
          <w:sz w:val="20"/>
        </w:rPr>
        <w:t xml:space="preserve">Westchester Media v. </w:t>
      </w:r>
      <w:proofErr w:type="spellStart"/>
      <w:r w:rsidRPr="007D45E3">
        <w:rPr>
          <w:i/>
          <w:iCs/>
          <w:sz w:val="20"/>
        </w:rPr>
        <w:t>PRL</w:t>
      </w:r>
      <w:proofErr w:type="spellEnd"/>
      <w:r w:rsidRPr="007D45E3">
        <w:rPr>
          <w:i/>
          <w:iCs/>
          <w:sz w:val="20"/>
        </w:rPr>
        <w:t xml:space="preserve"> USA Holdings, Inc.</w:t>
      </w:r>
      <w:r w:rsidRPr="007D45E3">
        <w:rPr>
          <w:sz w:val="20"/>
        </w:rPr>
        <w:t>, 214 F.3d 658, 665 (5th Cir. 2000).</w:t>
      </w:r>
    </w:p>
  </w:footnote>
  <w:footnote w:id="5">
    <w:p w:rsidR="00DA472C" w:rsidRPr="007D45E3" w:rsidRDefault="00DA472C" w:rsidP="00850696">
      <w:pPr>
        <w:rPr>
          <w:sz w:val="20"/>
        </w:rPr>
      </w:pPr>
      <w:r>
        <w:rPr>
          <w:rStyle w:val="FootnoteReference"/>
        </w:rPr>
        <w:t>9</w:t>
      </w:r>
      <w:r w:rsidRPr="007D45E3">
        <w:rPr>
          <w:sz w:val="20"/>
        </w:rPr>
        <w:t xml:space="preserve"> We explained in </w:t>
      </w:r>
      <w:r w:rsidRPr="007D45E3">
        <w:rPr>
          <w:i/>
          <w:iCs/>
          <w:sz w:val="20"/>
        </w:rPr>
        <w:t>MCA Records</w:t>
      </w:r>
      <w:r w:rsidRPr="007D45E3">
        <w:rPr>
          <w:sz w:val="20"/>
        </w:rPr>
        <w:t xml:space="preserve"> that trademarks sometimes “transcend their identifying purpose” and “become an integral part of our vocabulary.” 296 F.3d at 900. Examples include “Rolls Royce” as proof of quality or “Band-Aid” for any quick fix.</w:t>
      </w:r>
    </w:p>
  </w:footnote>
  <w:footnote w:id="6">
    <w:p w:rsidR="007D45E3" w:rsidRPr="007D45E3" w:rsidRDefault="007D45E3">
      <w:pPr>
        <w:pStyle w:val="FootnoteText"/>
        <w:rPr>
          <w:sz w:val="20"/>
        </w:rPr>
      </w:pPr>
      <w:r w:rsidRPr="007D45E3">
        <w:rPr>
          <w:rStyle w:val="FootnoteReference"/>
          <w:sz w:val="20"/>
        </w:rPr>
        <w:t>10</w:t>
      </w:r>
      <w:r w:rsidRPr="007D45E3">
        <w:rPr>
          <w:sz w:val="20"/>
        </w:rPr>
        <w:t xml:space="preserve"> </w:t>
      </w:r>
      <w:r w:rsidRPr="007D45E3">
        <w:rPr>
          <w:i/>
          <w:iCs/>
          <w:sz w:val="20"/>
        </w:rPr>
        <w:t>Cf. Law &amp; Order: Special Victims Unit</w:t>
      </w:r>
      <w:r w:rsidRPr="007D45E3">
        <w:rPr>
          <w:sz w:val="20"/>
        </w:rPr>
        <w:t xml:space="preserve"> (NBC Universal).</w:t>
      </w:r>
    </w:p>
  </w:footnote>
  <w:footnote w:id="7">
    <w:p w:rsidR="007D45E3" w:rsidRPr="007D45E3" w:rsidRDefault="007D45E3">
      <w:pPr>
        <w:pStyle w:val="FootnoteText"/>
        <w:rPr>
          <w:sz w:val="20"/>
        </w:rPr>
      </w:pPr>
      <w:r w:rsidRPr="007D45E3">
        <w:rPr>
          <w:rStyle w:val="FootnoteReference"/>
          <w:sz w:val="20"/>
        </w:rPr>
        <w:t>11</w:t>
      </w:r>
      <w:r w:rsidRPr="007D45E3">
        <w:rPr>
          <w:sz w:val="20"/>
        </w:rPr>
        <w:t xml:space="preserve"> We note that the district court has not yet addressed defendants’ abandonment defense. We express no opinion on that issue and leave it for the district court to address in the first instance.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0B" w:rsidRPr="00DA4D0B" w:rsidRDefault="00DA4D0B" w:rsidP="00DA4D0B">
    <w:pPr>
      <w:pStyle w:val="Header"/>
      <w:ind w:firstLine="0"/>
      <w:jc w:val="center"/>
      <w:rPr>
        <w:sz w:val="20"/>
      </w:rPr>
    </w:pPr>
    <w:r w:rsidRPr="00DA4D0B">
      <w:rPr>
        <w:sz w:val="20"/>
      </w:rPr>
      <w:t xml:space="preserve">Beebe  –  Trademark Law: An Open-Source Casebook  –  </w:t>
    </w:r>
    <w:r w:rsidRPr="00DA4D0B">
      <w:rPr>
        <w:i/>
        <w:sz w:val="20"/>
      </w:rPr>
      <w:t>Gordon v. Drape Creative, Inc</w:t>
    </w:r>
    <w:r>
      <w:rPr>
        <w:sz w:val="20"/>
      </w:rPr>
      <w:t>.</w:t>
    </w:r>
  </w:p>
  <w:p w:rsidR="00DA4D0B" w:rsidRPr="00DA4D0B" w:rsidRDefault="00DA4D0B" w:rsidP="00DA4D0B">
    <w:pPr>
      <w:pStyle w:val="Header"/>
      <w:tabs>
        <w:tab w:val="clear" w:pos="4680"/>
        <w:tab w:val="clear" w:pos="9360"/>
        <w:tab w:val="left" w:pos="2995"/>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80092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C0250"/>
    <w:multiLevelType w:val="hybridMultilevel"/>
    <w:tmpl w:val="A6C2EBC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526364E"/>
    <w:multiLevelType w:val="hybridMultilevel"/>
    <w:tmpl w:val="0CB01CA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7E5117F"/>
    <w:multiLevelType w:val="hybridMultilevel"/>
    <w:tmpl w:val="D368B9D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0980279D"/>
    <w:multiLevelType w:val="hybridMultilevel"/>
    <w:tmpl w:val="F594DD5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098273A4"/>
    <w:multiLevelType w:val="hybridMultilevel"/>
    <w:tmpl w:val="285011C4"/>
    <w:lvl w:ilvl="0" w:tplc="1DCC6E12">
      <w:start w:val="1"/>
      <w:numFmt w:val="decimal"/>
      <w:lvlText w:val="(%1)"/>
      <w:lvlJc w:val="left"/>
      <w:pPr>
        <w:ind w:left="1317" w:hanging="88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0C2343EE"/>
    <w:multiLevelType w:val="hybridMultilevel"/>
    <w:tmpl w:val="62DADBC6"/>
    <w:lvl w:ilvl="0" w:tplc="9BDA84C8">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0D180CC6"/>
    <w:multiLevelType w:val="hybridMultilevel"/>
    <w:tmpl w:val="4EF6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35AFA"/>
    <w:multiLevelType w:val="hybridMultilevel"/>
    <w:tmpl w:val="A286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D6D1C"/>
    <w:multiLevelType w:val="hybridMultilevel"/>
    <w:tmpl w:val="2D66EF0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8D54631"/>
    <w:multiLevelType w:val="hybridMultilevel"/>
    <w:tmpl w:val="F04E9D9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18DC5483"/>
    <w:multiLevelType w:val="hybridMultilevel"/>
    <w:tmpl w:val="E92011D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19591D46"/>
    <w:multiLevelType w:val="hybridMultilevel"/>
    <w:tmpl w:val="8D08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A50DD"/>
    <w:multiLevelType w:val="hybridMultilevel"/>
    <w:tmpl w:val="667CF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1D5779"/>
    <w:multiLevelType w:val="hybridMultilevel"/>
    <w:tmpl w:val="0EE0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24045"/>
    <w:multiLevelType w:val="hybridMultilevel"/>
    <w:tmpl w:val="C88E8F5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27CF78A4"/>
    <w:multiLevelType w:val="hybridMultilevel"/>
    <w:tmpl w:val="5A7A971A"/>
    <w:lvl w:ilvl="0" w:tplc="43568A54">
      <w:start w:val="1"/>
      <w:numFmt w:val="decimal"/>
      <w:lvlText w:val="%1."/>
      <w:lvlJc w:val="left"/>
      <w:pPr>
        <w:ind w:left="792" w:hanging="360"/>
      </w:pPr>
      <w:rPr>
        <w:rFonts w:hint="default"/>
        <w:i/>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8D65431"/>
    <w:multiLevelType w:val="hybridMultilevel"/>
    <w:tmpl w:val="38E04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274B72"/>
    <w:multiLevelType w:val="hybridMultilevel"/>
    <w:tmpl w:val="3C6EA23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2F0E578D"/>
    <w:multiLevelType w:val="hybridMultilevel"/>
    <w:tmpl w:val="0E58A83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39401154"/>
    <w:multiLevelType w:val="hybridMultilevel"/>
    <w:tmpl w:val="FC088BB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397F6E5A"/>
    <w:multiLevelType w:val="hybridMultilevel"/>
    <w:tmpl w:val="8122673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39F238A5"/>
    <w:multiLevelType w:val="hybridMultilevel"/>
    <w:tmpl w:val="C1DE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C165E"/>
    <w:multiLevelType w:val="hybridMultilevel"/>
    <w:tmpl w:val="874CDB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273099C"/>
    <w:multiLevelType w:val="hybridMultilevel"/>
    <w:tmpl w:val="A57031C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44D304F9"/>
    <w:multiLevelType w:val="hybridMultilevel"/>
    <w:tmpl w:val="ED406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85764A"/>
    <w:multiLevelType w:val="hybridMultilevel"/>
    <w:tmpl w:val="7B222EA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4845539C"/>
    <w:multiLevelType w:val="hybridMultilevel"/>
    <w:tmpl w:val="88B6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957E96"/>
    <w:multiLevelType w:val="hybridMultilevel"/>
    <w:tmpl w:val="15E0AC7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509769F6"/>
    <w:multiLevelType w:val="hybridMultilevel"/>
    <w:tmpl w:val="C024DC2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55F90B9B"/>
    <w:multiLevelType w:val="hybridMultilevel"/>
    <w:tmpl w:val="F4AAB5D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15:restartNumberingAfterBreak="0">
    <w:nsid w:val="59B36249"/>
    <w:multiLevelType w:val="hybridMultilevel"/>
    <w:tmpl w:val="F536D40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5A7618F4"/>
    <w:multiLevelType w:val="hybridMultilevel"/>
    <w:tmpl w:val="1C3A439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5C0C080A"/>
    <w:multiLevelType w:val="hybridMultilevel"/>
    <w:tmpl w:val="1002A28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5CB427A0"/>
    <w:multiLevelType w:val="hybridMultilevel"/>
    <w:tmpl w:val="D99E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851092"/>
    <w:multiLevelType w:val="hybridMultilevel"/>
    <w:tmpl w:val="E5A81800"/>
    <w:lvl w:ilvl="0" w:tplc="7EC83F7C">
      <w:numFmt w:val="bullet"/>
      <w:lvlText w:val="•"/>
      <w:lvlJc w:val="left"/>
      <w:pPr>
        <w:ind w:left="792" w:hanging="360"/>
      </w:pPr>
      <w:rPr>
        <w:rFonts w:ascii="Cambria" w:eastAsia="Calibri" w:hAnsi="Cambria"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65F668CB"/>
    <w:multiLevelType w:val="hybridMultilevel"/>
    <w:tmpl w:val="E496D8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15:restartNumberingAfterBreak="0">
    <w:nsid w:val="66BA3DAE"/>
    <w:multiLevelType w:val="hybridMultilevel"/>
    <w:tmpl w:val="D958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CD467E"/>
    <w:multiLevelType w:val="hybridMultilevel"/>
    <w:tmpl w:val="0D94626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15:restartNumberingAfterBreak="0">
    <w:nsid w:val="6AF32ED4"/>
    <w:multiLevelType w:val="hybridMultilevel"/>
    <w:tmpl w:val="4DBE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9039FA"/>
    <w:multiLevelType w:val="hybridMultilevel"/>
    <w:tmpl w:val="C1EA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7D2188"/>
    <w:multiLevelType w:val="hybridMultilevel"/>
    <w:tmpl w:val="438A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724809"/>
    <w:multiLevelType w:val="hybridMultilevel"/>
    <w:tmpl w:val="7780C5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15:restartNumberingAfterBreak="0">
    <w:nsid w:val="6F0E2DD3"/>
    <w:multiLevelType w:val="hybridMultilevel"/>
    <w:tmpl w:val="4A286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5E1A81"/>
    <w:multiLevelType w:val="hybridMultilevel"/>
    <w:tmpl w:val="1056F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559310E"/>
    <w:multiLevelType w:val="hybridMultilevel"/>
    <w:tmpl w:val="6A6AE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100107"/>
    <w:multiLevelType w:val="hybridMultilevel"/>
    <w:tmpl w:val="324C0D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7" w15:restartNumberingAfterBreak="0">
    <w:nsid w:val="7A167595"/>
    <w:multiLevelType w:val="hybridMultilevel"/>
    <w:tmpl w:val="57CA5F7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8" w15:restartNumberingAfterBreak="0">
    <w:nsid w:val="7F6C3508"/>
    <w:multiLevelType w:val="hybridMultilevel"/>
    <w:tmpl w:val="8974BA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2"/>
  </w:num>
  <w:num w:numId="2">
    <w:abstractNumId w:val="19"/>
  </w:num>
  <w:num w:numId="3">
    <w:abstractNumId w:val="0"/>
  </w:num>
  <w:num w:numId="4">
    <w:abstractNumId w:val="14"/>
  </w:num>
  <w:num w:numId="5">
    <w:abstractNumId w:val="43"/>
  </w:num>
  <w:num w:numId="6">
    <w:abstractNumId w:val="17"/>
  </w:num>
  <w:num w:numId="7">
    <w:abstractNumId w:val="13"/>
  </w:num>
  <w:num w:numId="8">
    <w:abstractNumId w:val="23"/>
  </w:num>
  <w:num w:numId="9">
    <w:abstractNumId w:val="25"/>
  </w:num>
  <w:num w:numId="10">
    <w:abstractNumId w:val="37"/>
  </w:num>
  <w:num w:numId="11">
    <w:abstractNumId w:val="1"/>
  </w:num>
  <w:num w:numId="12">
    <w:abstractNumId w:val="39"/>
  </w:num>
  <w:num w:numId="13">
    <w:abstractNumId w:val="41"/>
  </w:num>
  <w:num w:numId="14">
    <w:abstractNumId w:val="10"/>
  </w:num>
  <w:num w:numId="15">
    <w:abstractNumId w:val="47"/>
  </w:num>
  <w:num w:numId="16">
    <w:abstractNumId w:val="48"/>
  </w:num>
  <w:num w:numId="17">
    <w:abstractNumId w:val="20"/>
  </w:num>
  <w:num w:numId="18">
    <w:abstractNumId w:val="11"/>
  </w:num>
  <w:num w:numId="19">
    <w:abstractNumId w:val="33"/>
  </w:num>
  <w:num w:numId="20">
    <w:abstractNumId w:val="42"/>
  </w:num>
  <w:num w:numId="21">
    <w:abstractNumId w:val="44"/>
  </w:num>
  <w:num w:numId="22">
    <w:abstractNumId w:val="45"/>
  </w:num>
  <w:num w:numId="23">
    <w:abstractNumId w:val="30"/>
  </w:num>
  <w:num w:numId="24">
    <w:abstractNumId w:val="24"/>
  </w:num>
  <w:num w:numId="25">
    <w:abstractNumId w:val="22"/>
  </w:num>
  <w:num w:numId="26">
    <w:abstractNumId w:val="8"/>
  </w:num>
  <w:num w:numId="27">
    <w:abstractNumId w:val="40"/>
  </w:num>
  <w:num w:numId="28">
    <w:abstractNumId w:val="18"/>
  </w:num>
  <w:num w:numId="29">
    <w:abstractNumId w:val="9"/>
  </w:num>
  <w:num w:numId="30">
    <w:abstractNumId w:val="34"/>
  </w:num>
  <w:num w:numId="31">
    <w:abstractNumId w:val="31"/>
  </w:num>
  <w:num w:numId="32">
    <w:abstractNumId w:val="4"/>
  </w:num>
  <w:num w:numId="33">
    <w:abstractNumId w:val="28"/>
  </w:num>
  <w:num w:numId="34">
    <w:abstractNumId w:val="12"/>
  </w:num>
  <w:num w:numId="35">
    <w:abstractNumId w:val="21"/>
  </w:num>
  <w:num w:numId="36">
    <w:abstractNumId w:val="2"/>
  </w:num>
  <w:num w:numId="37">
    <w:abstractNumId w:val="29"/>
  </w:num>
  <w:num w:numId="38">
    <w:abstractNumId w:val="15"/>
  </w:num>
  <w:num w:numId="39">
    <w:abstractNumId w:val="46"/>
  </w:num>
  <w:num w:numId="40">
    <w:abstractNumId w:val="7"/>
  </w:num>
  <w:num w:numId="41">
    <w:abstractNumId w:val="26"/>
  </w:num>
  <w:num w:numId="42">
    <w:abstractNumId w:val="3"/>
  </w:num>
  <w:num w:numId="43">
    <w:abstractNumId w:val="6"/>
  </w:num>
  <w:num w:numId="44">
    <w:abstractNumId w:val="16"/>
  </w:num>
  <w:num w:numId="45">
    <w:abstractNumId w:val="36"/>
  </w:num>
  <w:num w:numId="46">
    <w:abstractNumId w:val="5"/>
  </w:num>
  <w:num w:numId="47">
    <w:abstractNumId w:val="27"/>
  </w:num>
  <w:num w:numId="48">
    <w:abstractNumId w:val="38"/>
  </w:num>
  <w:num w:numId="49">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B4"/>
    <w:rsid w:val="00000B14"/>
    <w:rsid w:val="0000326C"/>
    <w:rsid w:val="000040AC"/>
    <w:rsid w:val="000154B2"/>
    <w:rsid w:val="0001613E"/>
    <w:rsid w:val="000175AF"/>
    <w:rsid w:val="000214E5"/>
    <w:rsid w:val="000221B8"/>
    <w:rsid w:val="000238E3"/>
    <w:rsid w:val="00023FC7"/>
    <w:rsid w:val="00024D85"/>
    <w:rsid w:val="00034930"/>
    <w:rsid w:val="00037620"/>
    <w:rsid w:val="00040A2B"/>
    <w:rsid w:val="00040F4F"/>
    <w:rsid w:val="00041456"/>
    <w:rsid w:val="00044029"/>
    <w:rsid w:val="00046342"/>
    <w:rsid w:val="000551AC"/>
    <w:rsid w:val="00055D28"/>
    <w:rsid w:val="00056391"/>
    <w:rsid w:val="00056CA3"/>
    <w:rsid w:val="0006134A"/>
    <w:rsid w:val="00061894"/>
    <w:rsid w:val="00064CAC"/>
    <w:rsid w:val="0007011E"/>
    <w:rsid w:val="00070523"/>
    <w:rsid w:val="00074A09"/>
    <w:rsid w:val="000758D2"/>
    <w:rsid w:val="00080BC6"/>
    <w:rsid w:val="00086E00"/>
    <w:rsid w:val="00087197"/>
    <w:rsid w:val="00096D71"/>
    <w:rsid w:val="000A0C5F"/>
    <w:rsid w:val="000A24D0"/>
    <w:rsid w:val="000A5906"/>
    <w:rsid w:val="000A6768"/>
    <w:rsid w:val="000B0BAE"/>
    <w:rsid w:val="000B1472"/>
    <w:rsid w:val="000B3728"/>
    <w:rsid w:val="000B38AF"/>
    <w:rsid w:val="000B5DEE"/>
    <w:rsid w:val="000B6D32"/>
    <w:rsid w:val="000C1262"/>
    <w:rsid w:val="000C3F5D"/>
    <w:rsid w:val="000C4B2E"/>
    <w:rsid w:val="000C61FB"/>
    <w:rsid w:val="000D0A75"/>
    <w:rsid w:val="000D3EA2"/>
    <w:rsid w:val="000E126B"/>
    <w:rsid w:val="000E43C1"/>
    <w:rsid w:val="000E65B2"/>
    <w:rsid w:val="000F4C1C"/>
    <w:rsid w:val="000F7C8F"/>
    <w:rsid w:val="001027F1"/>
    <w:rsid w:val="00105098"/>
    <w:rsid w:val="001050B1"/>
    <w:rsid w:val="00107FE1"/>
    <w:rsid w:val="001127DE"/>
    <w:rsid w:val="00117783"/>
    <w:rsid w:val="00122ADF"/>
    <w:rsid w:val="00123D10"/>
    <w:rsid w:val="00123F00"/>
    <w:rsid w:val="00124C58"/>
    <w:rsid w:val="00127983"/>
    <w:rsid w:val="001328D7"/>
    <w:rsid w:val="001355AE"/>
    <w:rsid w:val="001356B6"/>
    <w:rsid w:val="00135D1C"/>
    <w:rsid w:val="00141086"/>
    <w:rsid w:val="001430D5"/>
    <w:rsid w:val="00143484"/>
    <w:rsid w:val="00144C89"/>
    <w:rsid w:val="00144DA1"/>
    <w:rsid w:val="00144FD7"/>
    <w:rsid w:val="001478E2"/>
    <w:rsid w:val="0015031D"/>
    <w:rsid w:val="00152779"/>
    <w:rsid w:val="001539C0"/>
    <w:rsid w:val="001618ED"/>
    <w:rsid w:val="0016452D"/>
    <w:rsid w:val="001654AF"/>
    <w:rsid w:val="00172FAE"/>
    <w:rsid w:val="00173944"/>
    <w:rsid w:val="001748BC"/>
    <w:rsid w:val="00175FD6"/>
    <w:rsid w:val="00176A07"/>
    <w:rsid w:val="0018477C"/>
    <w:rsid w:val="0018779F"/>
    <w:rsid w:val="001922BF"/>
    <w:rsid w:val="00193E99"/>
    <w:rsid w:val="0019425B"/>
    <w:rsid w:val="00195F7E"/>
    <w:rsid w:val="001A140A"/>
    <w:rsid w:val="001A1817"/>
    <w:rsid w:val="001A1BB3"/>
    <w:rsid w:val="001A6E52"/>
    <w:rsid w:val="001B077C"/>
    <w:rsid w:val="001B1B1A"/>
    <w:rsid w:val="001B1C75"/>
    <w:rsid w:val="001B3978"/>
    <w:rsid w:val="001B3BD5"/>
    <w:rsid w:val="001B61D6"/>
    <w:rsid w:val="001B735F"/>
    <w:rsid w:val="001B73D9"/>
    <w:rsid w:val="001C1E92"/>
    <w:rsid w:val="001C3762"/>
    <w:rsid w:val="001C487F"/>
    <w:rsid w:val="001D271C"/>
    <w:rsid w:val="001D27BA"/>
    <w:rsid w:val="001E02A8"/>
    <w:rsid w:val="001E10C9"/>
    <w:rsid w:val="001E18A8"/>
    <w:rsid w:val="001E25C7"/>
    <w:rsid w:val="001F0BE5"/>
    <w:rsid w:val="001F205A"/>
    <w:rsid w:val="001F2558"/>
    <w:rsid w:val="00204E48"/>
    <w:rsid w:val="002055C3"/>
    <w:rsid w:val="00211717"/>
    <w:rsid w:val="0021216B"/>
    <w:rsid w:val="00213D23"/>
    <w:rsid w:val="00214B49"/>
    <w:rsid w:val="002204C9"/>
    <w:rsid w:val="0022342F"/>
    <w:rsid w:val="002275AD"/>
    <w:rsid w:val="00231090"/>
    <w:rsid w:val="00231B03"/>
    <w:rsid w:val="0023384E"/>
    <w:rsid w:val="00234D02"/>
    <w:rsid w:val="002350D5"/>
    <w:rsid w:val="00240599"/>
    <w:rsid w:val="00242371"/>
    <w:rsid w:val="00242FDD"/>
    <w:rsid w:val="002453C8"/>
    <w:rsid w:val="00246061"/>
    <w:rsid w:val="00253DA3"/>
    <w:rsid w:val="00255C81"/>
    <w:rsid w:val="00256D36"/>
    <w:rsid w:val="0026124C"/>
    <w:rsid w:val="00261D0E"/>
    <w:rsid w:val="00262080"/>
    <w:rsid w:val="00264897"/>
    <w:rsid w:val="00264AEF"/>
    <w:rsid w:val="00264B68"/>
    <w:rsid w:val="002650B5"/>
    <w:rsid w:val="00266DCE"/>
    <w:rsid w:val="00270085"/>
    <w:rsid w:val="0027088F"/>
    <w:rsid w:val="002722E2"/>
    <w:rsid w:val="00290567"/>
    <w:rsid w:val="00290864"/>
    <w:rsid w:val="00293DDF"/>
    <w:rsid w:val="00294CDA"/>
    <w:rsid w:val="00296BB5"/>
    <w:rsid w:val="002A2D00"/>
    <w:rsid w:val="002A5179"/>
    <w:rsid w:val="002B03EC"/>
    <w:rsid w:val="002B0D4A"/>
    <w:rsid w:val="002B27E7"/>
    <w:rsid w:val="002B5C74"/>
    <w:rsid w:val="002C33D6"/>
    <w:rsid w:val="002C5DFE"/>
    <w:rsid w:val="002C5FDC"/>
    <w:rsid w:val="002C7657"/>
    <w:rsid w:val="002E1624"/>
    <w:rsid w:val="002E289A"/>
    <w:rsid w:val="002E35C1"/>
    <w:rsid w:val="002E4A51"/>
    <w:rsid w:val="002F08AE"/>
    <w:rsid w:val="002F0CF6"/>
    <w:rsid w:val="002F466A"/>
    <w:rsid w:val="002F4FA0"/>
    <w:rsid w:val="003006C7"/>
    <w:rsid w:val="003010D9"/>
    <w:rsid w:val="00302CC7"/>
    <w:rsid w:val="0031158B"/>
    <w:rsid w:val="003160A8"/>
    <w:rsid w:val="0032354D"/>
    <w:rsid w:val="00323731"/>
    <w:rsid w:val="00331C9E"/>
    <w:rsid w:val="003326B2"/>
    <w:rsid w:val="00333ABD"/>
    <w:rsid w:val="00334292"/>
    <w:rsid w:val="00340902"/>
    <w:rsid w:val="00346032"/>
    <w:rsid w:val="00354718"/>
    <w:rsid w:val="00356D0F"/>
    <w:rsid w:val="00356D76"/>
    <w:rsid w:val="0036092E"/>
    <w:rsid w:val="00360D23"/>
    <w:rsid w:val="0036540B"/>
    <w:rsid w:val="00365C30"/>
    <w:rsid w:val="00365FB7"/>
    <w:rsid w:val="00371793"/>
    <w:rsid w:val="003763C9"/>
    <w:rsid w:val="00382119"/>
    <w:rsid w:val="00384480"/>
    <w:rsid w:val="003876D2"/>
    <w:rsid w:val="003906FF"/>
    <w:rsid w:val="00391B73"/>
    <w:rsid w:val="00394606"/>
    <w:rsid w:val="00396E08"/>
    <w:rsid w:val="00397AF4"/>
    <w:rsid w:val="003A1835"/>
    <w:rsid w:val="003A1B30"/>
    <w:rsid w:val="003A299A"/>
    <w:rsid w:val="003A7538"/>
    <w:rsid w:val="003B1DFE"/>
    <w:rsid w:val="003B60D5"/>
    <w:rsid w:val="003B7681"/>
    <w:rsid w:val="003C240E"/>
    <w:rsid w:val="003C6784"/>
    <w:rsid w:val="003D0AAE"/>
    <w:rsid w:val="003D0E6C"/>
    <w:rsid w:val="003D6B4C"/>
    <w:rsid w:val="003E3299"/>
    <w:rsid w:val="003F0DD5"/>
    <w:rsid w:val="003F1111"/>
    <w:rsid w:val="003F2285"/>
    <w:rsid w:val="004074E2"/>
    <w:rsid w:val="004132B7"/>
    <w:rsid w:val="004145B8"/>
    <w:rsid w:val="00420A7F"/>
    <w:rsid w:val="00424229"/>
    <w:rsid w:val="00425A1A"/>
    <w:rsid w:val="0043191F"/>
    <w:rsid w:val="00431FB2"/>
    <w:rsid w:val="00433202"/>
    <w:rsid w:val="00441E78"/>
    <w:rsid w:val="0045023B"/>
    <w:rsid w:val="00451923"/>
    <w:rsid w:val="00452625"/>
    <w:rsid w:val="004544B4"/>
    <w:rsid w:val="00456EEA"/>
    <w:rsid w:val="004615B8"/>
    <w:rsid w:val="00461DB3"/>
    <w:rsid w:val="004625F7"/>
    <w:rsid w:val="0046315E"/>
    <w:rsid w:val="0046354E"/>
    <w:rsid w:val="004659B8"/>
    <w:rsid w:val="00471FD1"/>
    <w:rsid w:val="00475AD6"/>
    <w:rsid w:val="00476633"/>
    <w:rsid w:val="00484A7E"/>
    <w:rsid w:val="00485E62"/>
    <w:rsid w:val="00494B7C"/>
    <w:rsid w:val="00494BBF"/>
    <w:rsid w:val="00495152"/>
    <w:rsid w:val="004A2533"/>
    <w:rsid w:val="004A424E"/>
    <w:rsid w:val="004B056D"/>
    <w:rsid w:val="004B0781"/>
    <w:rsid w:val="004B0E37"/>
    <w:rsid w:val="004B7C9D"/>
    <w:rsid w:val="004C1E28"/>
    <w:rsid w:val="004C23DC"/>
    <w:rsid w:val="004C632E"/>
    <w:rsid w:val="004C7B9A"/>
    <w:rsid w:val="004D563E"/>
    <w:rsid w:val="004D5D28"/>
    <w:rsid w:val="004D6A4E"/>
    <w:rsid w:val="004D7193"/>
    <w:rsid w:val="004D77ED"/>
    <w:rsid w:val="004E32FA"/>
    <w:rsid w:val="004F28E0"/>
    <w:rsid w:val="004F6D22"/>
    <w:rsid w:val="00502FB5"/>
    <w:rsid w:val="00503EE7"/>
    <w:rsid w:val="00504158"/>
    <w:rsid w:val="00504955"/>
    <w:rsid w:val="00504FF8"/>
    <w:rsid w:val="00505397"/>
    <w:rsid w:val="00510877"/>
    <w:rsid w:val="00510E61"/>
    <w:rsid w:val="00511C1F"/>
    <w:rsid w:val="00514568"/>
    <w:rsid w:val="00514B37"/>
    <w:rsid w:val="00515D32"/>
    <w:rsid w:val="00515F44"/>
    <w:rsid w:val="00517D32"/>
    <w:rsid w:val="00520A85"/>
    <w:rsid w:val="0052179D"/>
    <w:rsid w:val="005254F1"/>
    <w:rsid w:val="00527A68"/>
    <w:rsid w:val="00531F2B"/>
    <w:rsid w:val="0053210D"/>
    <w:rsid w:val="00532DE8"/>
    <w:rsid w:val="00534F47"/>
    <w:rsid w:val="005350AA"/>
    <w:rsid w:val="005354F6"/>
    <w:rsid w:val="005358DB"/>
    <w:rsid w:val="005426B1"/>
    <w:rsid w:val="0054460D"/>
    <w:rsid w:val="005553D5"/>
    <w:rsid w:val="00557392"/>
    <w:rsid w:val="005601B1"/>
    <w:rsid w:val="00561117"/>
    <w:rsid w:val="00562B68"/>
    <w:rsid w:val="00562C1C"/>
    <w:rsid w:val="00563CAC"/>
    <w:rsid w:val="00563D3D"/>
    <w:rsid w:val="005661A1"/>
    <w:rsid w:val="005716EA"/>
    <w:rsid w:val="005735D3"/>
    <w:rsid w:val="005756B3"/>
    <w:rsid w:val="00575C21"/>
    <w:rsid w:val="0057769B"/>
    <w:rsid w:val="00580F7D"/>
    <w:rsid w:val="005844FE"/>
    <w:rsid w:val="005847CC"/>
    <w:rsid w:val="0058758E"/>
    <w:rsid w:val="00594473"/>
    <w:rsid w:val="00595994"/>
    <w:rsid w:val="00597767"/>
    <w:rsid w:val="005A6DDA"/>
    <w:rsid w:val="005B27CB"/>
    <w:rsid w:val="005B2A8D"/>
    <w:rsid w:val="005B30DE"/>
    <w:rsid w:val="005B3CB1"/>
    <w:rsid w:val="005B4BA1"/>
    <w:rsid w:val="005B5DE3"/>
    <w:rsid w:val="005C0714"/>
    <w:rsid w:val="005C1CC6"/>
    <w:rsid w:val="005C2B58"/>
    <w:rsid w:val="005C5E0F"/>
    <w:rsid w:val="005C6778"/>
    <w:rsid w:val="005D5B53"/>
    <w:rsid w:val="005D7771"/>
    <w:rsid w:val="005E21AB"/>
    <w:rsid w:val="005E23EF"/>
    <w:rsid w:val="005E33CF"/>
    <w:rsid w:val="005E6CC0"/>
    <w:rsid w:val="005E7E2B"/>
    <w:rsid w:val="005F1074"/>
    <w:rsid w:val="005F2F18"/>
    <w:rsid w:val="00601A7B"/>
    <w:rsid w:val="006025EE"/>
    <w:rsid w:val="006032A5"/>
    <w:rsid w:val="006046C4"/>
    <w:rsid w:val="00605E6F"/>
    <w:rsid w:val="00605E95"/>
    <w:rsid w:val="00606D6C"/>
    <w:rsid w:val="006078F4"/>
    <w:rsid w:val="0062100C"/>
    <w:rsid w:val="00621844"/>
    <w:rsid w:val="00621B31"/>
    <w:rsid w:val="00622D63"/>
    <w:rsid w:val="00626DD9"/>
    <w:rsid w:val="00627B4D"/>
    <w:rsid w:val="00631754"/>
    <w:rsid w:val="00634D81"/>
    <w:rsid w:val="0063502F"/>
    <w:rsid w:val="00647B13"/>
    <w:rsid w:val="0065291A"/>
    <w:rsid w:val="00654411"/>
    <w:rsid w:val="0065505B"/>
    <w:rsid w:val="00655F5E"/>
    <w:rsid w:val="00656930"/>
    <w:rsid w:val="00657113"/>
    <w:rsid w:val="0067307F"/>
    <w:rsid w:val="0067315D"/>
    <w:rsid w:val="00681D85"/>
    <w:rsid w:val="0068318D"/>
    <w:rsid w:val="00683BA2"/>
    <w:rsid w:val="00685604"/>
    <w:rsid w:val="00687018"/>
    <w:rsid w:val="006972FF"/>
    <w:rsid w:val="006A2B5B"/>
    <w:rsid w:val="006A47CA"/>
    <w:rsid w:val="006A4CFB"/>
    <w:rsid w:val="006A6B3C"/>
    <w:rsid w:val="006A7BEB"/>
    <w:rsid w:val="006B01BE"/>
    <w:rsid w:val="006B270E"/>
    <w:rsid w:val="006B3756"/>
    <w:rsid w:val="006B5014"/>
    <w:rsid w:val="006C2186"/>
    <w:rsid w:val="006C3E62"/>
    <w:rsid w:val="006C46DD"/>
    <w:rsid w:val="006D17F9"/>
    <w:rsid w:val="006D234F"/>
    <w:rsid w:val="006D3384"/>
    <w:rsid w:val="006E0516"/>
    <w:rsid w:val="006E1832"/>
    <w:rsid w:val="006E1CB6"/>
    <w:rsid w:val="006E23E8"/>
    <w:rsid w:val="006E71B0"/>
    <w:rsid w:val="006E75C6"/>
    <w:rsid w:val="007018B0"/>
    <w:rsid w:val="007076C7"/>
    <w:rsid w:val="00710218"/>
    <w:rsid w:val="0071207A"/>
    <w:rsid w:val="00713640"/>
    <w:rsid w:val="00727573"/>
    <w:rsid w:val="00727EB5"/>
    <w:rsid w:val="00740F87"/>
    <w:rsid w:val="007432A8"/>
    <w:rsid w:val="00743715"/>
    <w:rsid w:val="00745525"/>
    <w:rsid w:val="007551AF"/>
    <w:rsid w:val="00756E62"/>
    <w:rsid w:val="007572B8"/>
    <w:rsid w:val="00764958"/>
    <w:rsid w:val="00766B4A"/>
    <w:rsid w:val="007864A6"/>
    <w:rsid w:val="00787A66"/>
    <w:rsid w:val="0079097D"/>
    <w:rsid w:val="0079129D"/>
    <w:rsid w:val="00793229"/>
    <w:rsid w:val="007A3F17"/>
    <w:rsid w:val="007A425B"/>
    <w:rsid w:val="007A7A30"/>
    <w:rsid w:val="007A7C34"/>
    <w:rsid w:val="007B2232"/>
    <w:rsid w:val="007B251A"/>
    <w:rsid w:val="007B5A70"/>
    <w:rsid w:val="007C4010"/>
    <w:rsid w:val="007C560B"/>
    <w:rsid w:val="007D45E3"/>
    <w:rsid w:val="007D6217"/>
    <w:rsid w:val="007D75E0"/>
    <w:rsid w:val="007E1787"/>
    <w:rsid w:val="007E3AB3"/>
    <w:rsid w:val="007F13A1"/>
    <w:rsid w:val="007F5588"/>
    <w:rsid w:val="007F6EDC"/>
    <w:rsid w:val="007F6F79"/>
    <w:rsid w:val="008002CD"/>
    <w:rsid w:val="008006D0"/>
    <w:rsid w:val="008025CA"/>
    <w:rsid w:val="008034C4"/>
    <w:rsid w:val="00806FAA"/>
    <w:rsid w:val="008070A7"/>
    <w:rsid w:val="008121F8"/>
    <w:rsid w:val="0081275C"/>
    <w:rsid w:val="00813CCD"/>
    <w:rsid w:val="00821D2F"/>
    <w:rsid w:val="0082427C"/>
    <w:rsid w:val="00824BE4"/>
    <w:rsid w:val="008271CD"/>
    <w:rsid w:val="0083080B"/>
    <w:rsid w:val="00833A69"/>
    <w:rsid w:val="00834F47"/>
    <w:rsid w:val="008367B0"/>
    <w:rsid w:val="00836BEB"/>
    <w:rsid w:val="00836DDE"/>
    <w:rsid w:val="0083769A"/>
    <w:rsid w:val="00840BE4"/>
    <w:rsid w:val="008426C0"/>
    <w:rsid w:val="008434EC"/>
    <w:rsid w:val="008442C6"/>
    <w:rsid w:val="00850696"/>
    <w:rsid w:val="00853798"/>
    <w:rsid w:val="00853A5D"/>
    <w:rsid w:val="00854863"/>
    <w:rsid w:val="00857DEA"/>
    <w:rsid w:val="0086410B"/>
    <w:rsid w:val="00865300"/>
    <w:rsid w:val="0088230A"/>
    <w:rsid w:val="008825C0"/>
    <w:rsid w:val="008830D9"/>
    <w:rsid w:val="008841D4"/>
    <w:rsid w:val="008934D3"/>
    <w:rsid w:val="00894D29"/>
    <w:rsid w:val="008960A0"/>
    <w:rsid w:val="00897898"/>
    <w:rsid w:val="008979F0"/>
    <w:rsid w:val="008A0D04"/>
    <w:rsid w:val="008A16CC"/>
    <w:rsid w:val="008A336B"/>
    <w:rsid w:val="008A702E"/>
    <w:rsid w:val="008A795F"/>
    <w:rsid w:val="008B019C"/>
    <w:rsid w:val="008C727A"/>
    <w:rsid w:val="008C77ED"/>
    <w:rsid w:val="008C7BDC"/>
    <w:rsid w:val="008D187C"/>
    <w:rsid w:val="008D4A0C"/>
    <w:rsid w:val="008E0CF3"/>
    <w:rsid w:val="008E2740"/>
    <w:rsid w:val="008E5DF5"/>
    <w:rsid w:val="008E687D"/>
    <w:rsid w:val="008E74EE"/>
    <w:rsid w:val="008F1E44"/>
    <w:rsid w:val="00900266"/>
    <w:rsid w:val="00900CCF"/>
    <w:rsid w:val="00901907"/>
    <w:rsid w:val="00902190"/>
    <w:rsid w:val="009062DF"/>
    <w:rsid w:val="00910CA6"/>
    <w:rsid w:val="00920734"/>
    <w:rsid w:val="009233EA"/>
    <w:rsid w:val="00923886"/>
    <w:rsid w:val="0092502D"/>
    <w:rsid w:val="00925F4A"/>
    <w:rsid w:val="009273C1"/>
    <w:rsid w:val="00927D84"/>
    <w:rsid w:val="009319C9"/>
    <w:rsid w:val="00932647"/>
    <w:rsid w:val="00934384"/>
    <w:rsid w:val="009418B3"/>
    <w:rsid w:val="00943284"/>
    <w:rsid w:val="0094356C"/>
    <w:rsid w:val="0094604C"/>
    <w:rsid w:val="009460D7"/>
    <w:rsid w:val="00953DBC"/>
    <w:rsid w:val="00956436"/>
    <w:rsid w:val="00957460"/>
    <w:rsid w:val="0096098C"/>
    <w:rsid w:val="00961B8C"/>
    <w:rsid w:val="0096326B"/>
    <w:rsid w:val="00963D72"/>
    <w:rsid w:val="009729E6"/>
    <w:rsid w:val="00980A64"/>
    <w:rsid w:val="0098317A"/>
    <w:rsid w:val="0098514E"/>
    <w:rsid w:val="009932A5"/>
    <w:rsid w:val="00993D06"/>
    <w:rsid w:val="0099553B"/>
    <w:rsid w:val="009A170A"/>
    <w:rsid w:val="009A3F73"/>
    <w:rsid w:val="009B00C1"/>
    <w:rsid w:val="009B2626"/>
    <w:rsid w:val="009B2996"/>
    <w:rsid w:val="009B3D69"/>
    <w:rsid w:val="009B7966"/>
    <w:rsid w:val="009C19B5"/>
    <w:rsid w:val="009C1D0C"/>
    <w:rsid w:val="009C2BD5"/>
    <w:rsid w:val="009C4C93"/>
    <w:rsid w:val="009D06A7"/>
    <w:rsid w:val="009D31D3"/>
    <w:rsid w:val="009D3EAF"/>
    <w:rsid w:val="009D674D"/>
    <w:rsid w:val="009E58F4"/>
    <w:rsid w:val="009E724F"/>
    <w:rsid w:val="009F2077"/>
    <w:rsid w:val="009F3D32"/>
    <w:rsid w:val="009F4490"/>
    <w:rsid w:val="009F6B40"/>
    <w:rsid w:val="00A024E2"/>
    <w:rsid w:val="00A02A41"/>
    <w:rsid w:val="00A048B0"/>
    <w:rsid w:val="00A0491E"/>
    <w:rsid w:val="00A0520F"/>
    <w:rsid w:val="00A05446"/>
    <w:rsid w:val="00A1100A"/>
    <w:rsid w:val="00A118FE"/>
    <w:rsid w:val="00A16002"/>
    <w:rsid w:val="00A16387"/>
    <w:rsid w:val="00A1729A"/>
    <w:rsid w:val="00A17418"/>
    <w:rsid w:val="00A21083"/>
    <w:rsid w:val="00A230BC"/>
    <w:rsid w:val="00A23C3B"/>
    <w:rsid w:val="00A262FE"/>
    <w:rsid w:val="00A31AB7"/>
    <w:rsid w:val="00A33AD7"/>
    <w:rsid w:val="00A3729B"/>
    <w:rsid w:val="00A41CBE"/>
    <w:rsid w:val="00A44D64"/>
    <w:rsid w:val="00A44FB2"/>
    <w:rsid w:val="00A45CF5"/>
    <w:rsid w:val="00A463D5"/>
    <w:rsid w:val="00A471BE"/>
    <w:rsid w:val="00A50D25"/>
    <w:rsid w:val="00A52F4C"/>
    <w:rsid w:val="00A537C2"/>
    <w:rsid w:val="00A56B53"/>
    <w:rsid w:val="00A57D10"/>
    <w:rsid w:val="00A67090"/>
    <w:rsid w:val="00A7119F"/>
    <w:rsid w:val="00A72F20"/>
    <w:rsid w:val="00A7714B"/>
    <w:rsid w:val="00A7746E"/>
    <w:rsid w:val="00A80391"/>
    <w:rsid w:val="00A80DAE"/>
    <w:rsid w:val="00A83808"/>
    <w:rsid w:val="00A861FA"/>
    <w:rsid w:val="00A8697C"/>
    <w:rsid w:val="00A87721"/>
    <w:rsid w:val="00A90A7C"/>
    <w:rsid w:val="00A92B18"/>
    <w:rsid w:val="00A92BB8"/>
    <w:rsid w:val="00AA0BD0"/>
    <w:rsid w:val="00AA38FB"/>
    <w:rsid w:val="00AA6AF6"/>
    <w:rsid w:val="00AA74AC"/>
    <w:rsid w:val="00AA7719"/>
    <w:rsid w:val="00AB0053"/>
    <w:rsid w:val="00AB06FA"/>
    <w:rsid w:val="00AB195D"/>
    <w:rsid w:val="00AB45AF"/>
    <w:rsid w:val="00AB48F2"/>
    <w:rsid w:val="00AB6B12"/>
    <w:rsid w:val="00AC0403"/>
    <w:rsid w:val="00AC2E36"/>
    <w:rsid w:val="00AD0AE8"/>
    <w:rsid w:val="00AD0B68"/>
    <w:rsid w:val="00AD18D1"/>
    <w:rsid w:val="00AD22B4"/>
    <w:rsid w:val="00AD22E4"/>
    <w:rsid w:val="00AD3773"/>
    <w:rsid w:val="00AD6968"/>
    <w:rsid w:val="00AD6E8B"/>
    <w:rsid w:val="00AE2419"/>
    <w:rsid w:val="00AE35E8"/>
    <w:rsid w:val="00AE500E"/>
    <w:rsid w:val="00AE5E12"/>
    <w:rsid w:val="00AF24BF"/>
    <w:rsid w:val="00AF3191"/>
    <w:rsid w:val="00B06DFC"/>
    <w:rsid w:val="00B07C63"/>
    <w:rsid w:val="00B10F4D"/>
    <w:rsid w:val="00B11BEF"/>
    <w:rsid w:val="00B1403A"/>
    <w:rsid w:val="00B1586C"/>
    <w:rsid w:val="00B15AB6"/>
    <w:rsid w:val="00B26868"/>
    <w:rsid w:val="00B26D32"/>
    <w:rsid w:val="00B310F7"/>
    <w:rsid w:val="00B3111D"/>
    <w:rsid w:val="00B312A8"/>
    <w:rsid w:val="00B31EF3"/>
    <w:rsid w:val="00B33518"/>
    <w:rsid w:val="00B37CF5"/>
    <w:rsid w:val="00B409C0"/>
    <w:rsid w:val="00B40BE2"/>
    <w:rsid w:val="00B40E17"/>
    <w:rsid w:val="00B40F2C"/>
    <w:rsid w:val="00B41B92"/>
    <w:rsid w:val="00B4363B"/>
    <w:rsid w:val="00B47A98"/>
    <w:rsid w:val="00B5608F"/>
    <w:rsid w:val="00B57188"/>
    <w:rsid w:val="00B61CB5"/>
    <w:rsid w:val="00B65042"/>
    <w:rsid w:val="00B6608F"/>
    <w:rsid w:val="00B821F9"/>
    <w:rsid w:val="00B8642F"/>
    <w:rsid w:val="00B90D53"/>
    <w:rsid w:val="00B97D05"/>
    <w:rsid w:val="00BA1E0C"/>
    <w:rsid w:val="00BA3FB6"/>
    <w:rsid w:val="00BA7BD3"/>
    <w:rsid w:val="00BB0CB8"/>
    <w:rsid w:val="00BB0D44"/>
    <w:rsid w:val="00BB33AE"/>
    <w:rsid w:val="00BB3E31"/>
    <w:rsid w:val="00BC15A2"/>
    <w:rsid w:val="00BC2D36"/>
    <w:rsid w:val="00BC3191"/>
    <w:rsid w:val="00BC7A59"/>
    <w:rsid w:val="00BD70F8"/>
    <w:rsid w:val="00BE4008"/>
    <w:rsid w:val="00BF7F00"/>
    <w:rsid w:val="00C0505D"/>
    <w:rsid w:val="00C062F6"/>
    <w:rsid w:val="00C06897"/>
    <w:rsid w:val="00C11763"/>
    <w:rsid w:val="00C162E1"/>
    <w:rsid w:val="00C16FEC"/>
    <w:rsid w:val="00C21ACD"/>
    <w:rsid w:val="00C245AB"/>
    <w:rsid w:val="00C2600F"/>
    <w:rsid w:val="00C26C6F"/>
    <w:rsid w:val="00C30CE9"/>
    <w:rsid w:val="00C31B9A"/>
    <w:rsid w:val="00C31EF1"/>
    <w:rsid w:val="00C3265C"/>
    <w:rsid w:val="00C34730"/>
    <w:rsid w:val="00C3533C"/>
    <w:rsid w:val="00C363CB"/>
    <w:rsid w:val="00C36AED"/>
    <w:rsid w:val="00C41CA1"/>
    <w:rsid w:val="00C43DAB"/>
    <w:rsid w:val="00C50372"/>
    <w:rsid w:val="00C50EBB"/>
    <w:rsid w:val="00C53EAD"/>
    <w:rsid w:val="00C56EFF"/>
    <w:rsid w:val="00C62087"/>
    <w:rsid w:val="00C75893"/>
    <w:rsid w:val="00C763F6"/>
    <w:rsid w:val="00C76FC3"/>
    <w:rsid w:val="00C80412"/>
    <w:rsid w:val="00C81F72"/>
    <w:rsid w:val="00C86FBE"/>
    <w:rsid w:val="00C93AC7"/>
    <w:rsid w:val="00C950BE"/>
    <w:rsid w:val="00C953F1"/>
    <w:rsid w:val="00C96166"/>
    <w:rsid w:val="00C96CB4"/>
    <w:rsid w:val="00C97DDC"/>
    <w:rsid w:val="00CA06C4"/>
    <w:rsid w:val="00CA100D"/>
    <w:rsid w:val="00CA456D"/>
    <w:rsid w:val="00CA6B9A"/>
    <w:rsid w:val="00CA750D"/>
    <w:rsid w:val="00CB38C6"/>
    <w:rsid w:val="00CC3A4A"/>
    <w:rsid w:val="00CD2F93"/>
    <w:rsid w:val="00CE0A3B"/>
    <w:rsid w:val="00CE3FD1"/>
    <w:rsid w:val="00CF1E2C"/>
    <w:rsid w:val="00CF23A6"/>
    <w:rsid w:val="00CF3CAD"/>
    <w:rsid w:val="00D0081F"/>
    <w:rsid w:val="00D009A8"/>
    <w:rsid w:val="00D02B3A"/>
    <w:rsid w:val="00D03464"/>
    <w:rsid w:val="00D15E8B"/>
    <w:rsid w:val="00D22659"/>
    <w:rsid w:val="00D228E8"/>
    <w:rsid w:val="00D22EE6"/>
    <w:rsid w:val="00D27C2F"/>
    <w:rsid w:val="00D301A3"/>
    <w:rsid w:val="00D3384E"/>
    <w:rsid w:val="00D36E88"/>
    <w:rsid w:val="00D408D2"/>
    <w:rsid w:val="00D428D2"/>
    <w:rsid w:val="00D43BEF"/>
    <w:rsid w:val="00D51A01"/>
    <w:rsid w:val="00D531A2"/>
    <w:rsid w:val="00D5355C"/>
    <w:rsid w:val="00D53AA2"/>
    <w:rsid w:val="00D6013A"/>
    <w:rsid w:val="00D63EAD"/>
    <w:rsid w:val="00D64803"/>
    <w:rsid w:val="00D65284"/>
    <w:rsid w:val="00D656BF"/>
    <w:rsid w:val="00D65AE8"/>
    <w:rsid w:val="00D66C2B"/>
    <w:rsid w:val="00D676B4"/>
    <w:rsid w:val="00D738B9"/>
    <w:rsid w:val="00D756D8"/>
    <w:rsid w:val="00D75E94"/>
    <w:rsid w:val="00D826D0"/>
    <w:rsid w:val="00D843A5"/>
    <w:rsid w:val="00D86690"/>
    <w:rsid w:val="00D9228A"/>
    <w:rsid w:val="00D939B6"/>
    <w:rsid w:val="00D94F71"/>
    <w:rsid w:val="00DA1AE7"/>
    <w:rsid w:val="00DA371F"/>
    <w:rsid w:val="00DA472C"/>
    <w:rsid w:val="00DA4D0B"/>
    <w:rsid w:val="00DA67B8"/>
    <w:rsid w:val="00DB04A4"/>
    <w:rsid w:val="00DB34E7"/>
    <w:rsid w:val="00DB44EA"/>
    <w:rsid w:val="00DB4D2B"/>
    <w:rsid w:val="00DC3742"/>
    <w:rsid w:val="00DC4FF4"/>
    <w:rsid w:val="00DC5E2E"/>
    <w:rsid w:val="00DC66D4"/>
    <w:rsid w:val="00DD3061"/>
    <w:rsid w:val="00DD49FA"/>
    <w:rsid w:val="00DE2144"/>
    <w:rsid w:val="00DE370E"/>
    <w:rsid w:val="00DF3746"/>
    <w:rsid w:val="00DF3900"/>
    <w:rsid w:val="00DF50AF"/>
    <w:rsid w:val="00E01263"/>
    <w:rsid w:val="00E01AB5"/>
    <w:rsid w:val="00E02126"/>
    <w:rsid w:val="00E02495"/>
    <w:rsid w:val="00E054DE"/>
    <w:rsid w:val="00E06D14"/>
    <w:rsid w:val="00E06FCB"/>
    <w:rsid w:val="00E078AA"/>
    <w:rsid w:val="00E124EC"/>
    <w:rsid w:val="00E173BB"/>
    <w:rsid w:val="00E177E8"/>
    <w:rsid w:val="00E17C56"/>
    <w:rsid w:val="00E2272B"/>
    <w:rsid w:val="00E22EE9"/>
    <w:rsid w:val="00E23877"/>
    <w:rsid w:val="00E265AF"/>
    <w:rsid w:val="00E30C88"/>
    <w:rsid w:val="00E3334B"/>
    <w:rsid w:val="00E360B1"/>
    <w:rsid w:val="00E3686A"/>
    <w:rsid w:val="00E37F64"/>
    <w:rsid w:val="00E424C7"/>
    <w:rsid w:val="00E46282"/>
    <w:rsid w:val="00E4780D"/>
    <w:rsid w:val="00E522AB"/>
    <w:rsid w:val="00E546A2"/>
    <w:rsid w:val="00E54887"/>
    <w:rsid w:val="00E5548E"/>
    <w:rsid w:val="00E57354"/>
    <w:rsid w:val="00E62829"/>
    <w:rsid w:val="00E67549"/>
    <w:rsid w:val="00E720AD"/>
    <w:rsid w:val="00E7312D"/>
    <w:rsid w:val="00E7323E"/>
    <w:rsid w:val="00E74EB7"/>
    <w:rsid w:val="00E753BC"/>
    <w:rsid w:val="00E7566C"/>
    <w:rsid w:val="00E75BA0"/>
    <w:rsid w:val="00E81BE6"/>
    <w:rsid w:val="00E81FF6"/>
    <w:rsid w:val="00E853ED"/>
    <w:rsid w:val="00E85454"/>
    <w:rsid w:val="00EA1066"/>
    <w:rsid w:val="00EB0151"/>
    <w:rsid w:val="00EB078A"/>
    <w:rsid w:val="00EB09AF"/>
    <w:rsid w:val="00EB0B10"/>
    <w:rsid w:val="00EB7915"/>
    <w:rsid w:val="00EC0D0C"/>
    <w:rsid w:val="00EC2485"/>
    <w:rsid w:val="00EC345C"/>
    <w:rsid w:val="00ED0BBA"/>
    <w:rsid w:val="00ED149D"/>
    <w:rsid w:val="00ED27D7"/>
    <w:rsid w:val="00EE2E21"/>
    <w:rsid w:val="00EE4837"/>
    <w:rsid w:val="00EE6151"/>
    <w:rsid w:val="00EE6C92"/>
    <w:rsid w:val="00EF3D36"/>
    <w:rsid w:val="00EF5FC6"/>
    <w:rsid w:val="00EF68CB"/>
    <w:rsid w:val="00F001B6"/>
    <w:rsid w:val="00F0120C"/>
    <w:rsid w:val="00F05192"/>
    <w:rsid w:val="00F06244"/>
    <w:rsid w:val="00F06A39"/>
    <w:rsid w:val="00F108BB"/>
    <w:rsid w:val="00F11076"/>
    <w:rsid w:val="00F13ACE"/>
    <w:rsid w:val="00F14C1F"/>
    <w:rsid w:val="00F152A2"/>
    <w:rsid w:val="00F15E41"/>
    <w:rsid w:val="00F16507"/>
    <w:rsid w:val="00F17F20"/>
    <w:rsid w:val="00F2008E"/>
    <w:rsid w:val="00F21E2E"/>
    <w:rsid w:val="00F22217"/>
    <w:rsid w:val="00F27CFF"/>
    <w:rsid w:val="00F27DEF"/>
    <w:rsid w:val="00F31935"/>
    <w:rsid w:val="00F343AD"/>
    <w:rsid w:val="00F34994"/>
    <w:rsid w:val="00F3534D"/>
    <w:rsid w:val="00F35E01"/>
    <w:rsid w:val="00F448A9"/>
    <w:rsid w:val="00F503C7"/>
    <w:rsid w:val="00F523F6"/>
    <w:rsid w:val="00F53490"/>
    <w:rsid w:val="00F53CA6"/>
    <w:rsid w:val="00F57831"/>
    <w:rsid w:val="00F644EC"/>
    <w:rsid w:val="00F65153"/>
    <w:rsid w:val="00F674B8"/>
    <w:rsid w:val="00F724CD"/>
    <w:rsid w:val="00F72A42"/>
    <w:rsid w:val="00F74EE3"/>
    <w:rsid w:val="00F76228"/>
    <w:rsid w:val="00F87927"/>
    <w:rsid w:val="00F9123E"/>
    <w:rsid w:val="00F91FE3"/>
    <w:rsid w:val="00F953F7"/>
    <w:rsid w:val="00F95A51"/>
    <w:rsid w:val="00FA0265"/>
    <w:rsid w:val="00FA0D7A"/>
    <w:rsid w:val="00FA2EFD"/>
    <w:rsid w:val="00FA37D8"/>
    <w:rsid w:val="00FA3995"/>
    <w:rsid w:val="00FA41AA"/>
    <w:rsid w:val="00FB0971"/>
    <w:rsid w:val="00FB0DE4"/>
    <w:rsid w:val="00FB6174"/>
    <w:rsid w:val="00FB6F39"/>
    <w:rsid w:val="00FB7D5C"/>
    <w:rsid w:val="00FC3F6F"/>
    <w:rsid w:val="00FC57D8"/>
    <w:rsid w:val="00FD324B"/>
    <w:rsid w:val="00FD4518"/>
    <w:rsid w:val="00FD5921"/>
    <w:rsid w:val="00FE4AF0"/>
    <w:rsid w:val="00FE58A6"/>
    <w:rsid w:val="00FE6F91"/>
    <w:rsid w:val="00FF118B"/>
    <w:rsid w:val="00FF431E"/>
    <w:rsid w:val="00FF60FD"/>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7640CB-BF4C-47F2-A12D-528A58F5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715"/>
    <w:pPr>
      <w:spacing w:after="60" w:line="264" w:lineRule="auto"/>
      <w:ind w:firstLine="432"/>
      <w:jc w:val="both"/>
    </w:pPr>
    <w:rPr>
      <w:sz w:val="22"/>
    </w:rPr>
  </w:style>
  <w:style w:type="paragraph" w:styleId="Heading1">
    <w:name w:val="heading 1"/>
    <w:basedOn w:val="Normal"/>
    <w:next w:val="Normal"/>
    <w:link w:val="Heading1Char"/>
    <w:uiPriority w:val="9"/>
    <w:qFormat/>
    <w:rsid w:val="00C3265C"/>
    <w:pPr>
      <w:spacing w:before="60"/>
      <w:ind w:firstLine="0"/>
      <w:jc w:val="center"/>
      <w:outlineLvl w:val="0"/>
    </w:pPr>
    <w:rPr>
      <w:b/>
    </w:rPr>
  </w:style>
  <w:style w:type="paragraph" w:styleId="Heading2">
    <w:name w:val="heading 2"/>
    <w:basedOn w:val="Normal"/>
    <w:next w:val="Normal"/>
    <w:link w:val="Heading2Char"/>
    <w:uiPriority w:val="9"/>
    <w:unhideWhenUsed/>
    <w:qFormat/>
    <w:rsid w:val="00044029"/>
    <w:pPr>
      <w:spacing w:before="240" w:after="120"/>
      <w:ind w:firstLine="0"/>
      <w:outlineLvl w:val="1"/>
    </w:pPr>
    <w:rPr>
      <w:b/>
    </w:rPr>
  </w:style>
  <w:style w:type="paragraph" w:styleId="Heading3">
    <w:name w:val="heading 3"/>
    <w:basedOn w:val="Normal"/>
    <w:next w:val="Normal"/>
    <w:link w:val="Heading3Char"/>
    <w:uiPriority w:val="9"/>
    <w:unhideWhenUsed/>
    <w:qFormat/>
    <w:rsid w:val="00044029"/>
    <w:pPr>
      <w:spacing w:before="240" w:after="120"/>
      <w:ind w:left="864" w:hanging="432"/>
      <w:outlineLvl w:val="2"/>
    </w:pPr>
    <w:rPr>
      <w:b/>
    </w:rPr>
  </w:style>
  <w:style w:type="paragraph" w:styleId="Heading4">
    <w:name w:val="heading 4"/>
    <w:basedOn w:val="Normal"/>
    <w:next w:val="Normal"/>
    <w:link w:val="Heading4Char"/>
    <w:uiPriority w:val="9"/>
    <w:unhideWhenUsed/>
    <w:qFormat/>
    <w:rsid w:val="001027F1"/>
    <w:pPr>
      <w:ind w:firstLine="0"/>
      <w:outlineLvl w:val="3"/>
    </w:pPr>
    <w:rPr>
      <w:b/>
    </w:rPr>
  </w:style>
  <w:style w:type="paragraph" w:styleId="Heading5">
    <w:name w:val="heading 5"/>
    <w:basedOn w:val="Normal"/>
    <w:next w:val="Normal"/>
    <w:link w:val="Heading5Char"/>
    <w:uiPriority w:val="9"/>
    <w:unhideWhenUsed/>
    <w:qFormat/>
    <w:rsid w:val="008841D4"/>
    <w:pPr>
      <w:ind w:left="864" w:hanging="432"/>
      <w:outlineLvl w:val="4"/>
    </w:pPr>
    <w:rPr>
      <w:b/>
    </w:rPr>
  </w:style>
  <w:style w:type="paragraph" w:styleId="Heading6">
    <w:name w:val="heading 6"/>
    <w:basedOn w:val="Normal"/>
    <w:next w:val="Normal"/>
    <w:link w:val="Heading6Char"/>
    <w:uiPriority w:val="9"/>
    <w:unhideWhenUsed/>
    <w:qFormat/>
    <w:rsid w:val="00EB7915"/>
    <w:pPr>
      <w:outlineLvl w:val="5"/>
    </w:pPr>
    <w:rPr>
      <w:rFonts w:ascii="Cambria Math" w:hAnsi="Cambria Math" w:cs="Cambria Math"/>
      <w:b/>
    </w:rPr>
  </w:style>
  <w:style w:type="paragraph" w:styleId="Heading7">
    <w:name w:val="heading 7"/>
    <w:aliases w:val="Case name"/>
    <w:basedOn w:val="OpinionCitation"/>
    <w:next w:val="Normal"/>
    <w:link w:val="Heading7Char"/>
    <w:uiPriority w:val="9"/>
    <w:unhideWhenUsed/>
    <w:qFormat/>
    <w:rsid w:val="00C3265C"/>
    <w:pPr>
      <w:spacing w:after="0"/>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265C"/>
    <w:rPr>
      <w:b/>
      <w:sz w:val="22"/>
    </w:rPr>
  </w:style>
  <w:style w:type="character" w:customStyle="1" w:styleId="Heading2Char">
    <w:name w:val="Heading 2 Char"/>
    <w:link w:val="Heading2"/>
    <w:uiPriority w:val="9"/>
    <w:rsid w:val="00044029"/>
    <w:rPr>
      <w:b/>
      <w:sz w:val="22"/>
    </w:rPr>
  </w:style>
  <w:style w:type="paragraph" w:customStyle="1" w:styleId="Blockquote">
    <w:name w:val="Blockquote"/>
    <w:basedOn w:val="Normal"/>
    <w:link w:val="BlockquoteChar"/>
    <w:qFormat/>
    <w:rsid w:val="00531F2B"/>
    <w:pPr>
      <w:ind w:left="576" w:right="576" w:firstLine="0"/>
    </w:pPr>
  </w:style>
  <w:style w:type="character" w:customStyle="1" w:styleId="Heading3Char">
    <w:name w:val="Heading 3 Char"/>
    <w:link w:val="Heading3"/>
    <w:uiPriority w:val="9"/>
    <w:rsid w:val="00044029"/>
    <w:rPr>
      <w:b/>
      <w:sz w:val="22"/>
    </w:rPr>
  </w:style>
  <w:style w:type="character" w:customStyle="1" w:styleId="BlockquoteChar">
    <w:name w:val="Blockquote Char"/>
    <w:link w:val="Blockquote"/>
    <w:rsid w:val="00531F2B"/>
    <w:rPr>
      <w:sz w:val="22"/>
    </w:rPr>
  </w:style>
  <w:style w:type="character" w:customStyle="1" w:styleId="Heading4Char">
    <w:name w:val="Heading 4 Char"/>
    <w:link w:val="Heading4"/>
    <w:uiPriority w:val="9"/>
    <w:rsid w:val="001027F1"/>
    <w:rPr>
      <w:b/>
      <w:sz w:val="22"/>
    </w:rPr>
  </w:style>
  <w:style w:type="paragraph" w:styleId="FootnoteText">
    <w:name w:val="footnote text"/>
    <w:basedOn w:val="Normal"/>
    <w:link w:val="FootnoteTextChar"/>
    <w:uiPriority w:val="99"/>
    <w:unhideWhenUsed/>
    <w:qFormat/>
    <w:rsid w:val="00AD18D1"/>
  </w:style>
  <w:style w:type="character" w:customStyle="1" w:styleId="FootnoteTextChar">
    <w:name w:val="Footnote Text Char"/>
    <w:link w:val="FootnoteText"/>
    <w:uiPriority w:val="99"/>
    <w:rsid w:val="00AD18D1"/>
    <w:rPr>
      <w:rFonts w:ascii="Cambria" w:hAnsi="Cambria"/>
      <w:sz w:val="22"/>
    </w:rPr>
  </w:style>
  <w:style w:type="character" w:styleId="FootnoteReference">
    <w:name w:val="footnote reference"/>
    <w:semiHidden/>
    <w:unhideWhenUsed/>
    <w:rsid w:val="005716EA"/>
    <w:rPr>
      <w:vertAlign w:val="superscript"/>
    </w:rPr>
  </w:style>
  <w:style w:type="paragraph" w:styleId="BalloonText">
    <w:name w:val="Balloon Text"/>
    <w:basedOn w:val="Normal"/>
    <w:link w:val="BalloonTextChar"/>
    <w:uiPriority w:val="99"/>
    <w:semiHidden/>
    <w:unhideWhenUsed/>
    <w:rsid w:val="00064CA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64CAC"/>
    <w:rPr>
      <w:rFonts w:ascii="Tahoma" w:hAnsi="Tahoma" w:cs="Tahoma"/>
      <w:sz w:val="16"/>
      <w:szCs w:val="16"/>
    </w:rPr>
  </w:style>
  <w:style w:type="paragraph" w:customStyle="1" w:styleId="NormalNoIndent">
    <w:name w:val="Normal No Indent"/>
    <w:basedOn w:val="Normal"/>
    <w:link w:val="NormalNoIndentChar"/>
    <w:qFormat/>
    <w:rsid w:val="001027F1"/>
    <w:pPr>
      <w:ind w:firstLine="0"/>
    </w:pPr>
  </w:style>
  <w:style w:type="paragraph" w:customStyle="1" w:styleId="OpinionCitation">
    <w:name w:val="Opinion Citation"/>
    <w:basedOn w:val="Normal"/>
    <w:link w:val="OpinionCitationChar"/>
    <w:qFormat/>
    <w:rsid w:val="00C3265C"/>
    <w:pPr>
      <w:keepNext/>
      <w:keepLines/>
      <w:spacing w:before="240" w:after="120"/>
      <w:ind w:firstLine="0"/>
    </w:pPr>
    <w:rPr>
      <w:b/>
    </w:rPr>
  </w:style>
  <w:style w:type="character" w:customStyle="1" w:styleId="NormalNoIndentChar">
    <w:name w:val="Normal No Indent Char"/>
    <w:link w:val="NormalNoIndent"/>
    <w:rsid w:val="001027F1"/>
    <w:rPr>
      <w:sz w:val="22"/>
    </w:rPr>
  </w:style>
  <w:style w:type="paragraph" w:styleId="Header">
    <w:name w:val="header"/>
    <w:basedOn w:val="Normal"/>
    <w:link w:val="HeaderChar"/>
    <w:uiPriority w:val="99"/>
    <w:unhideWhenUsed/>
    <w:rsid w:val="008A16CC"/>
    <w:pPr>
      <w:tabs>
        <w:tab w:val="center" w:pos="4680"/>
        <w:tab w:val="right" w:pos="9360"/>
      </w:tabs>
    </w:pPr>
  </w:style>
  <w:style w:type="character" w:customStyle="1" w:styleId="OpinionCitationChar">
    <w:name w:val="Opinion Citation Char"/>
    <w:link w:val="OpinionCitation"/>
    <w:rsid w:val="00C3265C"/>
    <w:rPr>
      <w:b/>
      <w:sz w:val="22"/>
    </w:rPr>
  </w:style>
  <w:style w:type="character" w:customStyle="1" w:styleId="HeaderChar">
    <w:name w:val="Header Char"/>
    <w:link w:val="Header"/>
    <w:uiPriority w:val="99"/>
    <w:rsid w:val="008A16CC"/>
    <w:rPr>
      <w:sz w:val="22"/>
    </w:rPr>
  </w:style>
  <w:style w:type="paragraph" w:styleId="Footer">
    <w:name w:val="footer"/>
    <w:basedOn w:val="Normal"/>
    <w:link w:val="FooterChar"/>
    <w:uiPriority w:val="99"/>
    <w:unhideWhenUsed/>
    <w:rsid w:val="008A16CC"/>
    <w:pPr>
      <w:tabs>
        <w:tab w:val="center" w:pos="4680"/>
        <w:tab w:val="right" w:pos="9360"/>
      </w:tabs>
    </w:pPr>
  </w:style>
  <w:style w:type="character" w:customStyle="1" w:styleId="FooterChar">
    <w:name w:val="Footer Char"/>
    <w:link w:val="Footer"/>
    <w:uiPriority w:val="99"/>
    <w:rsid w:val="008A16CC"/>
    <w:rPr>
      <w:sz w:val="22"/>
    </w:rPr>
  </w:style>
  <w:style w:type="paragraph" w:customStyle="1" w:styleId="CommentsandQuestions">
    <w:name w:val="Comments and Questions"/>
    <w:basedOn w:val="Normal"/>
    <w:link w:val="CommentsandQuestionsChar"/>
    <w:qFormat/>
    <w:rsid w:val="00821D2F"/>
    <w:pPr>
      <w:keepNext/>
      <w:spacing w:before="240" w:after="120"/>
      <w:ind w:firstLine="0"/>
      <w:jc w:val="center"/>
    </w:pPr>
    <w:rPr>
      <w:b/>
    </w:rPr>
  </w:style>
  <w:style w:type="character" w:customStyle="1" w:styleId="Heading5Char">
    <w:name w:val="Heading 5 Char"/>
    <w:link w:val="Heading5"/>
    <w:uiPriority w:val="9"/>
    <w:rsid w:val="008841D4"/>
    <w:rPr>
      <w:b/>
      <w:sz w:val="22"/>
    </w:rPr>
  </w:style>
  <w:style w:type="character" w:customStyle="1" w:styleId="CommentsandQuestionsChar">
    <w:name w:val="Comments and Questions Char"/>
    <w:link w:val="CommentsandQuestions"/>
    <w:rsid w:val="00821D2F"/>
    <w:rPr>
      <w:b/>
      <w:sz w:val="22"/>
    </w:rPr>
  </w:style>
  <w:style w:type="paragraph" w:styleId="ListBullet">
    <w:name w:val="List Bullet"/>
    <w:basedOn w:val="Normal"/>
    <w:uiPriority w:val="99"/>
    <w:unhideWhenUsed/>
    <w:rsid w:val="00204E48"/>
    <w:pPr>
      <w:numPr>
        <w:numId w:val="3"/>
      </w:numPr>
      <w:contextualSpacing/>
    </w:pPr>
  </w:style>
  <w:style w:type="paragraph" w:customStyle="1" w:styleId="Dashbreak">
    <w:name w:val="Dash break"/>
    <w:basedOn w:val="NormalNoIndent"/>
    <w:link w:val="DashbreakChar"/>
    <w:qFormat/>
    <w:rsid w:val="00EB7915"/>
    <w:pPr>
      <w:jc w:val="center"/>
    </w:pPr>
  </w:style>
  <w:style w:type="character" w:customStyle="1" w:styleId="Heading6Char">
    <w:name w:val="Heading 6 Char"/>
    <w:link w:val="Heading6"/>
    <w:uiPriority w:val="9"/>
    <w:rsid w:val="00EB7915"/>
    <w:rPr>
      <w:rFonts w:ascii="Cambria Math" w:hAnsi="Cambria Math" w:cs="Cambria Math"/>
      <w:b/>
      <w:sz w:val="22"/>
    </w:rPr>
  </w:style>
  <w:style w:type="character" w:customStyle="1" w:styleId="DashbreakChar">
    <w:name w:val="Dash break Char"/>
    <w:basedOn w:val="NormalNoIndentChar"/>
    <w:link w:val="Dashbreak"/>
    <w:rsid w:val="00EB7915"/>
    <w:rPr>
      <w:sz w:val="22"/>
    </w:rPr>
  </w:style>
  <w:style w:type="paragraph" w:styleId="BodyText">
    <w:name w:val="Body Text"/>
    <w:basedOn w:val="Normal"/>
    <w:link w:val="BodyTextChar"/>
    <w:uiPriority w:val="99"/>
    <w:semiHidden/>
    <w:unhideWhenUsed/>
    <w:rsid w:val="005C0714"/>
    <w:pPr>
      <w:spacing w:after="120"/>
    </w:pPr>
  </w:style>
  <w:style w:type="character" w:customStyle="1" w:styleId="BodyTextChar">
    <w:name w:val="Body Text Char"/>
    <w:link w:val="BodyText"/>
    <w:uiPriority w:val="99"/>
    <w:semiHidden/>
    <w:rsid w:val="005C0714"/>
    <w:rPr>
      <w:sz w:val="22"/>
    </w:rPr>
  </w:style>
  <w:style w:type="paragraph" w:customStyle="1" w:styleId="ReferenceLine">
    <w:name w:val="Reference Line"/>
    <w:basedOn w:val="BodyText"/>
    <w:rsid w:val="005C0714"/>
  </w:style>
  <w:style w:type="character" w:styleId="Hyperlink">
    <w:name w:val="Hyperlink"/>
    <w:uiPriority w:val="99"/>
    <w:unhideWhenUsed/>
    <w:rsid w:val="008E2740"/>
    <w:rPr>
      <w:color w:val="0000FF"/>
      <w:u w:val="single"/>
    </w:rPr>
  </w:style>
  <w:style w:type="paragraph" w:styleId="EndnoteText">
    <w:name w:val="endnote text"/>
    <w:basedOn w:val="Normal"/>
    <w:link w:val="EndnoteTextChar"/>
    <w:uiPriority w:val="99"/>
    <w:semiHidden/>
    <w:unhideWhenUsed/>
    <w:rsid w:val="00124C58"/>
    <w:rPr>
      <w:sz w:val="20"/>
    </w:rPr>
  </w:style>
  <w:style w:type="character" w:customStyle="1" w:styleId="EndnoteTextChar">
    <w:name w:val="Endnote Text Char"/>
    <w:basedOn w:val="DefaultParagraphFont"/>
    <w:link w:val="EndnoteText"/>
    <w:uiPriority w:val="99"/>
    <w:semiHidden/>
    <w:rsid w:val="00124C58"/>
  </w:style>
  <w:style w:type="character" w:styleId="EndnoteReference">
    <w:name w:val="endnote reference"/>
    <w:uiPriority w:val="99"/>
    <w:semiHidden/>
    <w:unhideWhenUsed/>
    <w:rsid w:val="00124C58"/>
    <w:rPr>
      <w:vertAlign w:val="superscript"/>
    </w:rPr>
  </w:style>
  <w:style w:type="paragraph" w:styleId="TOCHeading">
    <w:name w:val="TOC Heading"/>
    <w:basedOn w:val="Heading1"/>
    <w:next w:val="Normal"/>
    <w:uiPriority w:val="39"/>
    <w:semiHidden/>
    <w:unhideWhenUsed/>
    <w:qFormat/>
    <w:rsid w:val="003F0DD5"/>
    <w:pPr>
      <w:keepNext/>
      <w:keepLines/>
      <w:spacing w:before="480" w:line="276" w:lineRule="auto"/>
      <w:jc w:val="left"/>
      <w:outlineLvl w:val="9"/>
    </w:pPr>
    <w:rPr>
      <w:rFonts w:eastAsia="MS Gothic"/>
      <w:bCs/>
      <w:color w:val="365F91"/>
      <w:sz w:val="28"/>
      <w:szCs w:val="28"/>
      <w:lang w:eastAsia="ja-JP"/>
    </w:rPr>
  </w:style>
  <w:style w:type="paragraph" w:styleId="TOC1">
    <w:name w:val="toc 1"/>
    <w:basedOn w:val="Normal"/>
    <w:next w:val="Normal"/>
    <w:autoRedefine/>
    <w:uiPriority w:val="39"/>
    <w:unhideWhenUsed/>
    <w:rsid w:val="00821D2F"/>
    <w:pPr>
      <w:tabs>
        <w:tab w:val="left" w:pos="440"/>
        <w:tab w:val="right" w:leader="dot" w:pos="7910"/>
      </w:tabs>
      <w:ind w:firstLine="0"/>
    </w:pPr>
  </w:style>
  <w:style w:type="paragraph" w:styleId="TOC2">
    <w:name w:val="toc 2"/>
    <w:basedOn w:val="Normal"/>
    <w:next w:val="Normal"/>
    <w:autoRedefine/>
    <w:uiPriority w:val="39"/>
    <w:unhideWhenUsed/>
    <w:rsid w:val="003F0DD5"/>
    <w:pPr>
      <w:tabs>
        <w:tab w:val="left" w:pos="810"/>
        <w:tab w:val="right" w:leader="dot" w:pos="7910"/>
      </w:tabs>
    </w:pPr>
  </w:style>
  <w:style w:type="paragraph" w:styleId="TOC3">
    <w:name w:val="toc 3"/>
    <w:basedOn w:val="Normal"/>
    <w:next w:val="Normal"/>
    <w:autoRedefine/>
    <w:uiPriority w:val="39"/>
    <w:unhideWhenUsed/>
    <w:rsid w:val="00A92BB8"/>
    <w:pPr>
      <w:tabs>
        <w:tab w:val="left" w:pos="1260"/>
        <w:tab w:val="right" w:leader="dot" w:pos="7910"/>
      </w:tabs>
      <w:ind w:left="1260" w:hanging="450"/>
    </w:pPr>
  </w:style>
  <w:style w:type="paragraph" w:styleId="TOC4">
    <w:name w:val="toc 4"/>
    <w:basedOn w:val="Normal"/>
    <w:next w:val="Normal"/>
    <w:autoRedefine/>
    <w:uiPriority w:val="39"/>
    <w:unhideWhenUsed/>
    <w:rsid w:val="00A92BB8"/>
    <w:pPr>
      <w:tabs>
        <w:tab w:val="left" w:pos="1260"/>
        <w:tab w:val="left" w:pos="1710"/>
        <w:tab w:val="right" w:leader="dot" w:pos="7910"/>
      </w:tabs>
      <w:ind w:left="1699" w:hanging="432"/>
    </w:pPr>
  </w:style>
  <w:style w:type="paragraph" w:styleId="TOC5">
    <w:name w:val="toc 5"/>
    <w:basedOn w:val="Normal"/>
    <w:next w:val="Normal"/>
    <w:autoRedefine/>
    <w:uiPriority w:val="39"/>
    <w:unhideWhenUsed/>
    <w:rsid w:val="004D563E"/>
    <w:pPr>
      <w:tabs>
        <w:tab w:val="left" w:pos="2160"/>
        <w:tab w:val="right" w:leader="dot" w:pos="7910"/>
      </w:tabs>
      <w:ind w:left="2160" w:hanging="450"/>
    </w:pPr>
  </w:style>
  <w:style w:type="paragraph" w:styleId="TOC6">
    <w:name w:val="toc 6"/>
    <w:basedOn w:val="Normal"/>
    <w:next w:val="Normal"/>
    <w:autoRedefine/>
    <w:uiPriority w:val="39"/>
    <w:unhideWhenUsed/>
    <w:rsid w:val="004D563E"/>
    <w:pPr>
      <w:tabs>
        <w:tab w:val="left" w:pos="2610"/>
        <w:tab w:val="right" w:leader="dot" w:pos="7910"/>
      </w:tabs>
      <w:ind w:left="2610" w:hanging="450"/>
    </w:pPr>
  </w:style>
  <w:style w:type="character" w:styleId="LineNumber">
    <w:name w:val="line number"/>
    <w:uiPriority w:val="99"/>
    <w:semiHidden/>
    <w:unhideWhenUsed/>
    <w:rsid w:val="00261D0E"/>
  </w:style>
  <w:style w:type="paragraph" w:customStyle="1" w:styleId="FootNote">
    <w:name w:val="_FootNote"/>
    <w:basedOn w:val="Normal"/>
    <w:rsid w:val="00EE4837"/>
    <w:pPr>
      <w:widowControl w:val="0"/>
      <w:suppressLineNumbers/>
      <w:tabs>
        <w:tab w:val="right" w:pos="480"/>
        <w:tab w:val="left" w:pos="720"/>
      </w:tabs>
      <w:spacing w:before="20" w:line="200" w:lineRule="exact"/>
      <w:ind w:firstLine="0"/>
    </w:pPr>
    <w:rPr>
      <w:rFonts w:ascii="NewCenturySchlbk" w:eastAsia="Times New Roman" w:hAnsi="NewCenturySchlbk"/>
      <w:sz w:val="16"/>
      <w:szCs w:val="24"/>
    </w:rPr>
  </w:style>
  <w:style w:type="character" w:customStyle="1" w:styleId="NoterefInNote">
    <w:name w:val="_NoterefInNote"/>
    <w:rsid w:val="00EE4837"/>
    <w:rPr>
      <w:rFonts w:ascii="NewCenturySchlbk" w:hAnsi="NewCenturySchlbk" w:hint="default"/>
      <w:sz w:val="16"/>
      <w:vertAlign w:val="baseline"/>
    </w:rPr>
  </w:style>
  <w:style w:type="paragraph" w:customStyle="1" w:styleId="Centered">
    <w:name w:val="Centered"/>
    <w:basedOn w:val="Normal"/>
    <w:link w:val="CenteredChar"/>
    <w:qFormat/>
    <w:rsid w:val="00262080"/>
    <w:pPr>
      <w:ind w:firstLine="0"/>
      <w:jc w:val="center"/>
    </w:pPr>
    <w:rPr>
      <w:iCs/>
      <w:sz w:val="20"/>
    </w:rPr>
  </w:style>
  <w:style w:type="paragraph" w:customStyle="1" w:styleId="Opinionheading">
    <w:name w:val="Opinion heading"/>
    <w:basedOn w:val="NormalNoIndent"/>
    <w:link w:val="OpinionheadingChar"/>
    <w:qFormat/>
    <w:rsid w:val="00EE4837"/>
    <w:rPr>
      <w:i/>
    </w:rPr>
  </w:style>
  <w:style w:type="character" w:customStyle="1" w:styleId="CenteredChar">
    <w:name w:val="Centered Char"/>
    <w:link w:val="Centered"/>
    <w:rsid w:val="00262080"/>
    <w:rPr>
      <w:iCs/>
    </w:rPr>
  </w:style>
  <w:style w:type="character" w:customStyle="1" w:styleId="OpinionheadingChar">
    <w:name w:val="Opinion heading Char"/>
    <w:link w:val="Opinionheading"/>
    <w:rsid w:val="00EE4837"/>
    <w:rPr>
      <w:i/>
      <w:sz w:val="22"/>
    </w:rPr>
  </w:style>
  <w:style w:type="character" w:customStyle="1" w:styleId="Heading7Char">
    <w:name w:val="Heading 7 Char"/>
    <w:aliases w:val="Case name Char"/>
    <w:link w:val="Heading7"/>
    <w:uiPriority w:val="9"/>
    <w:rsid w:val="00C3265C"/>
    <w:rPr>
      <w:b/>
      <w:i/>
      <w:sz w:val="22"/>
    </w:rPr>
  </w:style>
  <w:style w:type="paragraph" w:styleId="TOC8">
    <w:name w:val="toc 8"/>
    <w:basedOn w:val="Normal"/>
    <w:next w:val="Normal"/>
    <w:autoRedefine/>
    <w:uiPriority w:val="39"/>
    <w:unhideWhenUsed/>
    <w:rsid w:val="00BD70F8"/>
    <w:pPr>
      <w:spacing w:after="100" w:line="276" w:lineRule="auto"/>
      <w:ind w:left="1540" w:firstLine="0"/>
      <w:jc w:val="left"/>
    </w:pPr>
    <w:rPr>
      <w:rFonts w:ascii="Calibri" w:eastAsia="Times New Roman" w:hAnsi="Calibri"/>
      <w:szCs w:val="22"/>
    </w:rPr>
  </w:style>
  <w:style w:type="paragraph" w:styleId="TOC7">
    <w:name w:val="toc 7"/>
    <w:basedOn w:val="Normal"/>
    <w:next w:val="Normal"/>
    <w:autoRedefine/>
    <w:uiPriority w:val="39"/>
    <w:unhideWhenUsed/>
    <w:rsid w:val="00396E08"/>
    <w:pPr>
      <w:ind w:left="1757" w:firstLine="0"/>
    </w:pPr>
    <w:rPr>
      <w:i/>
    </w:rPr>
  </w:style>
  <w:style w:type="paragraph" w:styleId="TOC9">
    <w:name w:val="toc 9"/>
    <w:basedOn w:val="Normal"/>
    <w:next w:val="Normal"/>
    <w:autoRedefine/>
    <w:uiPriority w:val="39"/>
    <w:unhideWhenUsed/>
    <w:rsid w:val="00BD70F8"/>
    <w:pPr>
      <w:spacing w:after="100" w:line="276" w:lineRule="auto"/>
      <w:ind w:left="1760" w:firstLine="0"/>
      <w:jc w:val="left"/>
    </w:pPr>
    <w:rPr>
      <w:rFonts w:ascii="Calibri" w:eastAsia="Times New Roman" w:hAnsi="Calibri"/>
      <w:szCs w:val="22"/>
    </w:rPr>
  </w:style>
  <w:style w:type="paragraph" w:customStyle="1" w:styleId="Blockquoteindent">
    <w:name w:val="Blockquote indent"/>
    <w:basedOn w:val="Blockquote"/>
    <w:link w:val="BlockquoteindentChar"/>
    <w:qFormat/>
    <w:rsid w:val="008434EC"/>
    <w:pPr>
      <w:ind w:firstLine="432"/>
    </w:pPr>
  </w:style>
  <w:style w:type="paragraph" w:customStyle="1" w:styleId="Normal-Centered">
    <w:name w:val="Normal-Centered"/>
    <w:basedOn w:val="NormalNoIndent"/>
    <w:link w:val="Normal-CenteredChar"/>
    <w:qFormat/>
    <w:rsid w:val="005B27CB"/>
    <w:pPr>
      <w:jc w:val="center"/>
    </w:pPr>
  </w:style>
  <w:style w:type="character" w:customStyle="1" w:styleId="BlockquoteindentChar">
    <w:name w:val="Blockquote indent Char"/>
    <w:basedOn w:val="BlockquoteChar"/>
    <w:link w:val="Blockquoteindent"/>
    <w:rsid w:val="008434EC"/>
    <w:rPr>
      <w:sz w:val="22"/>
    </w:rPr>
  </w:style>
  <w:style w:type="character" w:styleId="Emphasis">
    <w:name w:val="Emphasis"/>
    <w:uiPriority w:val="20"/>
    <w:qFormat/>
    <w:rsid w:val="00122ADF"/>
    <w:rPr>
      <w:i/>
      <w:iCs/>
    </w:rPr>
  </w:style>
  <w:style w:type="character" w:customStyle="1" w:styleId="Normal-CenteredChar">
    <w:name w:val="Normal-Centered Char"/>
    <w:basedOn w:val="NormalNoIndentChar"/>
    <w:link w:val="Normal-Centered"/>
    <w:rsid w:val="005B27CB"/>
    <w:rPr>
      <w:sz w:val="22"/>
    </w:rPr>
  </w:style>
  <w:style w:type="character" w:customStyle="1" w:styleId="cosearchterm">
    <w:name w:val="co_searchterm"/>
    <w:rsid w:val="00122ADF"/>
  </w:style>
  <w:style w:type="table" w:styleId="TableGrid">
    <w:name w:val="Table Grid"/>
    <w:basedOn w:val="TableNormal"/>
    <w:uiPriority w:val="59"/>
    <w:rsid w:val="00803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indented">
    <w:name w:val="Blockquote indented"/>
    <w:basedOn w:val="Blockquote"/>
    <w:qFormat/>
    <w:rsid w:val="00117783"/>
    <w:pPr>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870">
      <w:bodyDiv w:val="1"/>
      <w:marLeft w:val="0"/>
      <w:marRight w:val="0"/>
      <w:marTop w:val="0"/>
      <w:marBottom w:val="0"/>
      <w:divBdr>
        <w:top w:val="none" w:sz="0" w:space="0" w:color="auto"/>
        <w:left w:val="none" w:sz="0" w:space="0" w:color="auto"/>
        <w:bottom w:val="none" w:sz="0" w:space="0" w:color="auto"/>
        <w:right w:val="none" w:sz="0" w:space="0" w:color="auto"/>
      </w:divBdr>
      <w:divsChild>
        <w:div w:id="346104604">
          <w:marLeft w:val="0"/>
          <w:marRight w:val="0"/>
          <w:marTop w:val="0"/>
          <w:marBottom w:val="0"/>
          <w:divBdr>
            <w:top w:val="none" w:sz="0" w:space="0" w:color="auto"/>
            <w:left w:val="none" w:sz="0" w:space="0" w:color="auto"/>
            <w:bottom w:val="none" w:sz="0" w:space="0" w:color="auto"/>
            <w:right w:val="none" w:sz="0" w:space="0" w:color="auto"/>
          </w:divBdr>
          <w:divsChild>
            <w:div w:id="167671513">
              <w:marLeft w:val="0"/>
              <w:marRight w:val="0"/>
              <w:marTop w:val="0"/>
              <w:marBottom w:val="0"/>
              <w:divBdr>
                <w:top w:val="none" w:sz="0" w:space="0" w:color="auto"/>
                <w:left w:val="none" w:sz="0" w:space="0" w:color="auto"/>
                <w:bottom w:val="none" w:sz="0" w:space="0" w:color="auto"/>
                <w:right w:val="none" w:sz="0" w:space="0" w:color="auto"/>
              </w:divBdr>
              <w:divsChild>
                <w:div w:id="1196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7796">
      <w:bodyDiv w:val="1"/>
      <w:marLeft w:val="0"/>
      <w:marRight w:val="0"/>
      <w:marTop w:val="0"/>
      <w:marBottom w:val="0"/>
      <w:divBdr>
        <w:top w:val="none" w:sz="0" w:space="0" w:color="auto"/>
        <w:left w:val="none" w:sz="0" w:space="0" w:color="auto"/>
        <w:bottom w:val="none" w:sz="0" w:space="0" w:color="auto"/>
        <w:right w:val="none" w:sz="0" w:space="0" w:color="auto"/>
      </w:divBdr>
      <w:divsChild>
        <w:div w:id="180435408">
          <w:marLeft w:val="1166"/>
          <w:marRight w:val="0"/>
          <w:marTop w:val="91"/>
          <w:marBottom w:val="0"/>
          <w:divBdr>
            <w:top w:val="none" w:sz="0" w:space="0" w:color="auto"/>
            <w:left w:val="none" w:sz="0" w:space="0" w:color="auto"/>
            <w:bottom w:val="none" w:sz="0" w:space="0" w:color="auto"/>
            <w:right w:val="none" w:sz="0" w:space="0" w:color="auto"/>
          </w:divBdr>
        </w:div>
      </w:divsChild>
    </w:div>
    <w:div w:id="69082957">
      <w:bodyDiv w:val="1"/>
      <w:marLeft w:val="0"/>
      <w:marRight w:val="0"/>
      <w:marTop w:val="0"/>
      <w:marBottom w:val="0"/>
      <w:divBdr>
        <w:top w:val="none" w:sz="0" w:space="0" w:color="auto"/>
        <w:left w:val="none" w:sz="0" w:space="0" w:color="auto"/>
        <w:bottom w:val="none" w:sz="0" w:space="0" w:color="auto"/>
        <w:right w:val="none" w:sz="0" w:space="0" w:color="auto"/>
      </w:divBdr>
      <w:divsChild>
        <w:div w:id="2081906861">
          <w:marLeft w:val="0"/>
          <w:marRight w:val="0"/>
          <w:marTop w:val="0"/>
          <w:marBottom w:val="0"/>
          <w:divBdr>
            <w:top w:val="none" w:sz="0" w:space="0" w:color="auto"/>
            <w:left w:val="none" w:sz="0" w:space="0" w:color="auto"/>
            <w:bottom w:val="none" w:sz="0" w:space="0" w:color="auto"/>
            <w:right w:val="none" w:sz="0" w:space="0" w:color="auto"/>
          </w:divBdr>
          <w:divsChild>
            <w:div w:id="325745706">
              <w:marLeft w:val="0"/>
              <w:marRight w:val="0"/>
              <w:marTop w:val="0"/>
              <w:marBottom w:val="0"/>
              <w:divBdr>
                <w:top w:val="none" w:sz="0" w:space="0" w:color="auto"/>
                <w:left w:val="none" w:sz="0" w:space="0" w:color="auto"/>
                <w:bottom w:val="none" w:sz="0" w:space="0" w:color="auto"/>
                <w:right w:val="none" w:sz="0" w:space="0" w:color="auto"/>
              </w:divBdr>
              <w:divsChild>
                <w:div w:id="1232347829">
                  <w:marLeft w:val="0"/>
                  <w:marRight w:val="0"/>
                  <w:marTop w:val="0"/>
                  <w:marBottom w:val="0"/>
                  <w:divBdr>
                    <w:top w:val="none" w:sz="0" w:space="0" w:color="auto"/>
                    <w:left w:val="none" w:sz="0" w:space="0" w:color="auto"/>
                    <w:bottom w:val="none" w:sz="0" w:space="0" w:color="auto"/>
                    <w:right w:val="none" w:sz="0" w:space="0" w:color="auto"/>
                  </w:divBdr>
                </w:div>
              </w:divsChild>
            </w:div>
            <w:div w:id="956185129">
              <w:marLeft w:val="0"/>
              <w:marRight w:val="0"/>
              <w:marTop w:val="0"/>
              <w:marBottom w:val="0"/>
              <w:divBdr>
                <w:top w:val="none" w:sz="0" w:space="0" w:color="auto"/>
                <w:left w:val="none" w:sz="0" w:space="0" w:color="auto"/>
                <w:bottom w:val="none" w:sz="0" w:space="0" w:color="auto"/>
                <w:right w:val="none" w:sz="0" w:space="0" w:color="auto"/>
              </w:divBdr>
            </w:div>
          </w:divsChild>
        </w:div>
        <w:div w:id="2090686427">
          <w:marLeft w:val="0"/>
          <w:marRight w:val="0"/>
          <w:marTop w:val="0"/>
          <w:marBottom w:val="0"/>
          <w:divBdr>
            <w:top w:val="none" w:sz="0" w:space="0" w:color="auto"/>
            <w:left w:val="none" w:sz="0" w:space="0" w:color="auto"/>
            <w:bottom w:val="none" w:sz="0" w:space="0" w:color="auto"/>
            <w:right w:val="none" w:sz="0" w:space="0" w:color="auto"/>
          </w:divBdr>
          <w:divsChild>
            <w:div w:id="178469051">
              <w:marLeft w:val="0"/>
              <w:marRight w:val="0"/>
              <w:marTop w:val="0"/>
              <w:marBottom w:val="0"/>
              <w:divBdr>
                <w:top w:val="none" w:sz="0" w:space="0" w:color="auto"/>
                <w:left w:val="none" w:sz="0" w:space="0" w:color="auto"/>
                <w:bottom w:val="none" w:sz="0" w:space="0" w:color="auto"/>
                <w:right w:val="none" w:sz="0" w:space="0" w:color="auto"/>
              </w:divBdr>
              <w:divsChild>
                <w:div w:id="749304884">
                  <w:marLeft w:val="0"/>
                  <w:marRight w:val="0"/>
                  <w:marTop w:val="0"/>
                  <w:marBottom w:val="0"/>
                  <w:divBdr>
                    <w:top w:val="none" w:sz="0" w:space="0" w:color="auto"/>
                    <w:left w:val="none" w:sz="0" w:space="0" w:color="auto"/>
                    <w:bottom w:val="none" w:sz="0" w:space="0" w:color="auto"/>
                    <w:right w:val="none" w:sz="0" w:space="0" w:color="auto"/>
                  </w:divBdr>
                </w:div>
              </w:divsChild>
            </w:div>
            <w:div w:id="714933431">
              <w:marLeft w:val="0"/>
              <w:marRight w:val="0"/>
              <w:marTop w:val="0"/>
              <w:marBottom w:val="0"/>
              <w:divBdr>
                <w:top w:val="none" w:sz="0" w:space="0" w:color="auto"/>
                <w:left w:val="none" w:sz="0" w:space="0" w:color="auto"/>
                <w:bottom w:val="none" w:sz="0" w:space="0" w:color="auto"/>
                <w:right w:val="none" w:sz="0" w:space="0" w:color="auto"/>
              </w:divBdr>
              <w:divsChild>
                <w:div w:id="644552166">
                  <w:marLeft w:val="0"/>
                  <w:marRight w:val="0"/>
                  <w:marTop w:val="0"/>
                  <w:marBottom w:val="0"/>
                  <w:divBdr>
                    <w:top w:val="none" w:sz="0" w:space="0" w:color="auto"/>
                    <w:left w:val="none" w:sz="0" w:space="0" w:color="auto"/>
                    <w:bottom w:val="none" w:sz="0" w:space="0" w:color="auto"/>
                    <w:right w:val="none" w:sz="0" w:space="0" w:color="auto"/>
                  </w:divBdr>
                </w:div>
              </w:divsChild>
            </w:div>
            <w:div w:id="1561210107">
              <w:marLeft w:val="0"/>
              <w:marRight w:val="0"/>
              <w:marTop w:val="0"/>
              <w:marBottom w:val="0"/>
              <w:divBdr>
                <w:top w:val="none" w:sz="0" w:space="0" w:color="auto"/>
                <w:left w:val="none" w:sz="0" w:space="0" w:color="auto"/>
                <w:bottom w:val="none" w:sz="0" w:space="0" w:color="auto"/>
                <w:right w:val="none" w:sz="0" w:space="0" w:color="auto"/>
              </w:divBdr>
              <w:divsChild>
                <w:div w:id="1596942436">
                  <w:marLeft w:val="0"/>
                  <w:marRight w:val="0"/>
                  <w:marTop w:val="0"/>
                  <w:marBottom w:val="0"/>
                  <w:divBdr>
                    <w:top w:val="none" w:sz="0" w:space="0" w:color="auto"/>
                    <w:left w:val="none" w:sz="0" w:space="0" w:color="auto"/>
                    <w:bottom w:val="none" w:sz="0" w:space="0" w:color="auto"/>
                    <w:right w:val="none" w:sz="0" w:space="0" w:color="auto"/>
                  </w:divBdr>
                </w:div>
              </w:divsChild>
            </w:div>
            <w:div w:id="2074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07">
      <w:bodyDiv w:val="1"/>
      <w:marLeft w:val="0"/>
      <w:marRight w:val="0"/>
      <w:marTop w:val="0"/>
      <w:marBottom w:val="0"/>
      <w:divBdr>
        <w:top w:val="none" w:sz="0" w:space="0" w:color="auto"/>
        <w:left w:val="none" w:sz="0" w:space="0" w:color="auto"/>
        <w:bottom w:val="none" w:sz="0" w:space="0" w:color="auto"/>
        <w:right w:val="none" w:sz="0" w:space="0" w:color="auto"/>
      </w:divBdr>
      <w:divsChild>
        <w:div w:id="5980224">
          <w:marLeft w:val="0"/>
          <w:marRight w:val="0"/>
          <w:marTop w:val="0"/>
          <w:marBottom w:val="0"/>
          <w:divBdr>
            <w:top w:val="none" w:sz="0" w:space="0" w:color="auto"/>
            <w:left w:val="none" w:sz="0" w:space="0" w:color="auto"/>
            <w:bottom w:val="none" w:sz="0" w:space="0" w:color="auto"/>
            <w:right w:val="none" w:sz="0" w:space="0" w:color="auto"/>
          </w:divBdr>
          <w:divsChild>
            <w:div w:id="7309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15">
      <w:bodyDiv w:val="1"/>
      <w:marLeft w:val="0"/>
      <w:marRight w:val="0"/>
      <w:marTop w:val="0"/>
      <w:marBottom w:val="0"/>
      <w:divBdr>
        <w:top w:val="none" w:sz="0" w:space="0" w:color="auto"/>
        <w:left w:val="none" w:sz="0" w:space="0" w:color="auto"/>
        <w:bottom w:val="none" w:sz="0" w:space="0" w:color="auto"/>
        <w:right w:val="none" w:sz="0" w:space="0" w:color="auto"/>
      </w:divBdr>
      <w:divsChild>
        <w:div w:id="203254001">
          <w:marLeft w:val="0"/>
          <w:marRight w:val="0"/>
          <w:marTop w:val="0"/>
          <w:marBottom w:val="0"/>
          <w:divBdr>
            <w:top w:val="none" w:sz="0" w:space="0" w:color="auto"/>
            <w:left w:val="none" w:sz="0" w:space="0" w:color="auto"/>
            <w:bottom w:val="none" w:sz="0" w:space="0" w:color="auto"/>
            <w:right w:val="none" w:sz="0" w:space="0" w:color="auto"/>
          </w:divBdr>
          <w:divsChild>
            <w:div w:id="1568152008">
              <w:marLeft w:val="0"/>
              <w:marRight w:val="0"/>
              <w:marTop w:val="0"/>
              <w:marBottom w:val="0"/>
              <w:divBdr>
                <w:top w:val="none" w:sz="0" w:space="0" w:color="auto"/>
                <w:left w:val="none" w:sz="0" w:space="0" w:color="auto"/>
                <w:bottom w:val="none" w:sz="0" w:space="0" w:color="auto"/>
                <w:right w:val="none" w:sz="0" w:space="0" w:color="auto"/>
              </w:divBdr>
              <w:divsChild>
                <w:div w:id="5904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5856">
      <w:bodyDiv w:val="1"/>
      <w:marLeft w:val="0"/>
      <w:marRight w:val="0"/>
      <w:marTop w:val="0"/>
      <w:marBottom w:val="0"/>
      <w:divBdr>
        <w:top w:val="none" w:sz="0" w:space="0" w:color="auto"/>
        <w:left w:val="none" w:sz="0" w:space="0" w:color="auto"/>
        <w:bottom w:val="none" w:sz="0" w:space="0" w:color="auto"/>
        <w:right w:val="none" w:sz="0" w:space="0" w:color="auto"/>
      </w:divBdr>
      <w:divsChild>
        <w:div w:id="1104032758">
          <w:marLeft w:val="0"/>
          <w:marRight w:val="0"/>
          <w:marTop w:val="0"/>
          <w:marBottom w:val="0"/>
          <w:divBdr>
            <w:top w:val="none" w:sz="0" w:space="0" w:color="auto"/>
            <w:left w:val="none" w:sz="0" w:space="0" w:color="auto"/>
            <w:bottom w:val="none" w:sz="0" w:space="0" w:color="auto"/>
            <w:right w:val="none" w:sz="0" w:space="0" w:color="auto"/>
          </w:divBdr>
          <w:divsChild>
            <w:div w:id="1144546002">
              <w:marLeft w:val="0"/>
              <w:marRight w:val="0"/>
              <w:marTop w:val="0"/>
              <w:marBottom w:val="0"/>
              <w:divBdr>
                <w:top w:val="none" w:sz="0" w:space="0" w:color="auto"/>
                <w:left w:val="none" w:sz="0" w:space="0" w:color="auto"/>
                <w:bottom w:val="none" w:sz="0" w:space="0" w:color="auto"/>
                <w:right w:val="none" w:sz="0" w:space="0" w:color="auto"/>
              </w:divBdr>
              <w:divsChild>
                <w:div w:id="68559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22877">
      <w:bodyDiv w:val="1"/>
      <w:marLeft w:val="0"/>
      <w:marRight w:val="0"/>
      <w:marTop w:val="0"/>
      <w:marBottom w:val="0"/>
      <w:divBdr>
        <w:top w:val="none" w:sz="0" w:space="0" w:color="auto"/>
        <w:left w:val="none" w:sz="0" w:space="0" w:color="auto"/>
        <w:bottom w:val="none" w:sz="0" w:space="0" w:color="auto"/>
        <w:right w:val="none" w:sz="0" w:space="0" w:color="auto"/>
      </w:divBdr>
      <w:divsChild>
        <w:div w:id="1080832814">
          <w:marLeft w:val="0"/>
          <w:marRight w:val="0"/>
          <w:marTop w:val="0"/>
          <w:marBottom w:val="0"/>
          <w:divBdr>
            <w:top w:val="none" w:sz="0" w:space="0" w:color="auto"/>
            <w:left w:val="none" w:sz="0" w:space="0" w:color="auto"/>
            <w:bottom w:val="none" w:sz="0" w:space="0" w:color="auto"/>
            <w:right w:val="none" w:sz="0" w:space="0" w:color="auto"/>
          </w:divBdr>
          <w:divsChild>
            <w:div w:id="17354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2040">
      <w:bodyDiv w:val="1"/>
      <w:marLeft w:val="0"/>
      <w:marRight w:val="0"/>
      <w:marTop w:val="0"/>
      <w:marBottom w:val="0"/>
      <w:divBdr>
        <w:top w:val="none" w:sz="0" w:space="0" w:color="auto"/>
        <w:left w:val="none" w:sz="0" w:space="0" w:color="auto"/>
        <w:bottom w:val="none" w:sz="0" w:space="0" w:color="auto"/>
        <w:right w:val="none" w:sz="0" w:space="0" w:color="auto"/>
      </w:divBdr>
    </w:div>
    <w:div w:id="324091944">
      <w:bodyDiv w:val="1"/>
      <w:marLeft w:val="0"/>
      <w:marRight w:val="0"/>
      <w:marTop w:val="0"/>
      <w:marBottom w:val="0"/>
      <w:divBdr>
        <w:top w:val="none" w:sz="0" w:space="0" w:color="auto"/>
        <w:left w:val="none" w:sz="0" w:space="0" w:color="auto"/>
        <w:bottom w:val="none" w:sz="0" w:space="0" w:color="auto"/>
        <w:right w:val="none" w:sz="0" w:space="0" w:color="auto"/>
      </w:divBdr>
      <w:divsChild>
        <w:div w:id="68819260">
          <w:marLeft w:val="0"/>
          <w:marRight w:val="0"/>
          <w:marTop w:val="0"/>
          <w:marBottom w:val="0"/>
          <w:divBdr>
            <w:top w:val="none" w:sz="0" w:space="0" w:color="auto"/>
            <w:left w:val="none" w:sz="0" w:space="0" w:color="auto"/>
            <w:bottom w:val="none" w:sz="0" w:space="0" w:color="auto"/>
            <w:right w:val="none" w:sz="0" w:space="0" w:color="auto"/>
          </w:divBdr>
          <w:divsChild>
            <w:div w:id="616448648">
              <w:marLeft w:val="0"/>
              <w:marRight w:val="0"/>
              <w:marTop w:val="0"/>
              <w:marBottom w:val="0"/>
              <w:divBdr>
                <w:top w:val="none" w:sz="0" w:space="0" w:color="auto"/>
                <w:left w:val="none" w:sz="0" w:space="0" w:color="auto"/>
                <w:bottom w:val="none" w:sz="0" w:space="0" w:color="auto"/>
                <w:right w:val="none" w:sz="0" w:space="0" w:color="auto"/>
              </w:divBdr>
              <w:divsChild>
                <w:div w:id="19087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0913">
      <w:bodyDiv w:val="1"/>
      <w:marLeft w:val="0"/>
      <w:marRight w:val="0"/>
      <w:marTop w:val="0"/>
      <w:marBottom w:val="0"/>
      <w:divBdr>
        <w:top w:val="none" w:sz="0" w:space="0" w:color="auto"/>
        <w:left w:val="none" w:sz="0" w:space="0" w:color="auto"/>
        <w:bottom w:val="none" w:sz="0" w:space="0" w:color="auto"/>
        <w:right w:val="none" w:sz="0" w:space="0" w:color="auto"/>
      </w:divBdr>
    </w:div>
    <w:div w:id="365839780">
      <w:bodyDiv w:val="1"/>
      <w:marLeft w:val="0"/>
      <w:marRight w:val="0"/>
      <w:marTop w:val="0"/>
      <w:marBottom w:val="0"/>
      <w:divBdr>
        <w:top w:val="none" w:sz="0" w:space="0" w:color="auto"/>
        <w:left w:val="none" w:sz="0" w:space="0" w:color="auto"/>
        <w:bottom w:val="none" w:sz="0" w:space="0" w:color="auto"/>
        <w:right w:val="none" w:sz="0" w:space="0" w:color="auto"/>
      </w:divBdr>
      <w:divsChild>
        <w:div w:id="499735375">
          <w:marLeft w:val="0"/>
          <w:marRight w:val="0"/>
          <w:marTop w:val="0"/>
          <w:marBottom w:val="0"/>
          <w:divBdr>
            <w:top w:val="none" w:sz="0" w:space="0" w:color="auto"/>
            <w:left w:val="none" w:sz="0" w:space="0" w:color="auto"/>
            <w:bottom w:val="none" w:sz="0" w:space="0" w:color="auto"/>
            <w:right w:val="none" w:sz="0" w:space="0" w:color="auto"/>
          </w:divBdr>
          <w:divsChild>
            <w:div w:id="1174799785">
              <w:marLeft w:val="0"/>
              <w:marRight w:val="0"/>
              <w:marTop w:val="0"/>
              <w:marBottom w:val="0"/>
              <w:divBdr>
                <w:top w:val="none" w:sz="0" w:space="0" w:color="auto"/>
                <w:left w:val="none" w:sz="0" w:space="0" w:color="auto"/>
                <w:bottom w:val="none" w:sz="0" w:space="0" w:color="auto"/>
                <w:right w:val="none" w:sz="0" w:space="0" w:color="auto"/>
              </w:divBdr>
              <w:divsChild>
                <w:div w:id="735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57639">
      <w:bodyDiv w:val="1"/>
      <w:marLeft w:val="0"/>
      <w:marRight w:val="0"/>
      <w:marTop w:val="0"/>
      <w:marBottom w:val="0"/>
      <w:divBdr>
        <w:top w:val="none" w:sz="0" w:space="0" w:color="auto"/>
        <w:left w:val="none" w:sz="0" w:space="0" w:color="auto"/>
        <w:bottom w:val="none" w:sz="0" w:space="0" w:color="auto"/>
        <w:right w:val="none" w:sz="0" w:space="0" w:color="auto"/>
      </w:divBdr>
    </w:div>
    <w:div w:id="420413752">
      <w:bodyDiv w:val="1"/>
      <w:marLeft w:val="0"/>
      <w:marRight w:val="0"/>
      <w:marTop w:val="0"/>
      <w:marBottom w:val="0"/>
      <w:divBdr>
        <w:top w:val="none" w:sz="0" w:space="0" w:color="auto"/>
        <w:left w:val="none" w:sz="0" w:space="0" w:color="auto"/>
        <w:bottom w:val="none" w:sz="0" w:space="0" w:color="auto"/>
        <w:right w:val="none" w:sz="0" w:space="0" w:color="auto"/>
      </w:divBdr>
      <w:divsChild>
        <w:div w:id="111943012">
          <w:marLeft w:val="0"/>
          <w:marRight w:val="0"/>
          <w:marTop w:val="0"/>
          <w:marBottom w:val="0"/>
          <w:divBdr>
            <w:top w:val="none" w:sz="0" w:space="0" w:color="auto"/>
            <w:left w:val="none" w:sz="0" w:space="0" w:color="auto"/>
            <w:bottom w:val="none" w:sz="0" w:space="0" w:color="auto"/>
            <w:right w:val="none" w:sz="0" w:space="0" w:color="auto"/>
          </w:divBdr>
        </w:div>
      </w:divsChild>
    </w:div>
    <w:div w:id="450635021">
      <w:bodyDiv w:val="1"/>
      <w:marLeft w:val="0"/>
      <w:marRight w:val="0"/>
      <w:marTop w:val="0"/>
      <w:marBottom w:val="0"/>
      <w:divBdr>
        <w:top w:val="none" w:sz="0" w:space="0" w:color="auto"/>
        <w:left w:val="none" w:sz="0" w:space="0" w:color="auto"/>
        <w:bottom w:val="none" w:sz="0" w:space="0" w:color="auto"/>
        <w:right w:val="none" w:sz="0" w:space="0" w:color="auto"/>
      </w:divBdr>
    </w:div>
    <w:div w:id="483745744">
      <w:bodyDiv w:val="1"/>
      <w:marLeft w:val="0"/>
      <w:marRight w:val="0"/>
      <w:marTop w:val="0"/>
      <w:marBottom w:val="0"/>
      <w:divBdr>
        <w:top w:val="none" w:sz="0" w:space="0" w:color="auto"/>
        <w:left w:val="none" w:sz="0" w:space="0" w:color="auto"/>
        <w:bottom w:val="none" w:sz="0" w:space="0" w:color="auto"/>
        <w:right w:val="none" w:sz="0" w:space="0" w:color="auto"/>
      </w:divBdr>
      <w:divsChild>
        <w:div w:id="388263704">
          <w:marLeft w:val="0"/>
          <w:marRight w:val="0"/>
          <w:marTop w:val="0"/>
          <w:marBottom w:val="0"/>
          <w:divBdr>
            <w:top w:val="none" w:sz="0" w:space="0" w:color="auto"/>
            <w:left w:val="none" w:sz="0" w:space="0" w:color="auto"/>
            <w:bottom w:val="none" w:sz="0" w:space="0" w:color="auto"/>
            <w:right w:val="none" w:sz="0" w:space="0" w:color="auto"/>
          </w:divBdr>
          <w:divsChild>
            <w:div w:id="401101317">
              <w:marLeft w:val="0"/>
              <w:marRight w:val="0"/>
              <w:marTop w:val="0"/>
              <w:marBottom w:val="0"/>
              <w:divBdr>
                <w:top w:val="none" w:sz="0" w:space="0" w:color="auto"/>
                <w:left w:val="none" w:sz="0" w:space="0" w:color="auto"/>
                <w:bottom w:val="none" w:sz="0" w:space="0" w:color="auto"/>
                <w:right w:val="none" w:sz="0" w:space="0" w:color="auto"/>
              </w:divBdr>
            </w:div>
            <w:div w:id="717095777">
              <w:marLeft w:val="0"/>
              <w:marRight w:val="0"/>
              <w:marTop w:val="0"/>
              <w:marBottom w:val="0"/>
              <w:divBdr>
                <w:top w:val="none" w:sz="0" w:space="0" w:color="auto"/>
                <w:left w:val="none" w:sz="0" w:space="0" w:color="auto"/>
                <w:bottom w:val="none" w:sz="0" w:space="0" w:color="auto"/>
                <w:right w:val="none" w:sz="0" w:space="0" w:color="auto"/>
              </w:divBdr>
              <w:divsChild>
                <w:div w:id="1390689809">
                  <w:marLeft w:val="0"/>
                  <w:marRight w:val="0"/>
                  <w:marTop w:val="0"/>
                  <w:marBottom w:val="0"/>
                  <w:divBdr>
                    <w:top w:val="none" w:sz="0" w:space="0" w:color="auto"/>
                    <w:left w:val="none" w:sz="0" w:space="0" w:color="auto"/>
                    <w:bottom w:val="none" w:sz="0" w:space="0" w:color="auto"/>
                    <w:right w:val="none" w:sz="0" w:space="0" w:color="auto"/>
                  </w:divBdr>
                </w:div>
              </w:divsChild>
            </w:div>
            <w:div w:id="944117866">
              <w:marLeft w:val="0"/>
              <w:marRight w:val="0"/>
              <w:marTop w:val="0"/>
              <w:marBottom w:val="0"/>
              <w:divBdr>
                <w:top w:val="none" w:sz="0" w:space="0" w:color="auto"/>
                <w:left w:val="none" w:sz="0" w:space="0" w:color="auto"/>
                <w:bottom w:val="none" w:sz="0" w:space="0" w:color="auto"/>
                <w:right w:val="none" w:sz="0" w:space="0" w:color="auto"/>
              </w:divBdr>
              <w:divsChild>
                <w:div w:id="951205333">
                  <w:marLeft w:val="0"/>
                  <w:marRight w:val="0"/>
                  <w:marTop w:val="0"/>
                  <w:marBottom w:val="0"/>
                  <w:divBdr>
                    <w:top w:val="none" w:sz="0" w:space="0" w:color="auto"/>
                    <w:left w:val="none" w:sz="0" w:space="0" w:color="auto"/>
                    <w:bottom w:val="none" w:sz="0" w:space="0" w:color="auto"/>
                    <w:right w:val="none" w:sz="0" w:space="0" w:color="auto"/>
                  </w:divBdr>
                </w:div>
              </w:divsChild>
            </w:div>
            <w:div w:id="2146047303">
              <w:marLeft w:val="0"/>
              <w:marRight w:val="0"/>
              <w:marTop w:val="0"/>
              <w:marBottom w:val="0"/>
              <w:divBdr>
                <w:top w:val="none" w:sz="0" w:space="0" w:color="auto"/>
                <w:left w:val="none" w:sz="0" w:space="0" w:color="auto"/>
                <w:bottom w:val="none" w:sz="0" w:space="0" w:color="auto"/>
                <w:right w:val="none" w:sz="0" w:space="0" w:color="auto"/>
              </w:divBdr>
              <w:divsChild>
                <w:div w:id="9229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4261">
          <w:marLeft w:val="0"/>
          <w:marRight w:val="0"/>
          <w:marTop w:val="0"/>
          <w:marBottom w:val="0"/>
          <w:divBdr>
            <w:top w:val="none" w:sz="0" w:space="0" w:color="auto"/>
            <w:left w:val="none" w:sz="0" w:space="0" w:color="auto"/>
            <w:bottom w:val="none" w:sz="0" w:space="0" w:color="auto"/>
            <w:right w:val="none" w:sz="0" w:space="0" w:color="auto"/>
          </w:divBdr>
          <w:divsChild>
            <w:div w:id="676689356">
              <w:marLeft w:val="0"/>
              <w:marRight w:val="0"/>
              <w:marTop w:val="0"/>
              <w:marBottom w:val="0"/>
              <w:divBdr>
                <w:top w:val="none" w:sz="0" w:space="0" w:color="auto"/>
                <w:left w:val="none" w:sz="0" w:space="0" w:color="auto"/>
                <w:bottom w:val="none" w:sz="0" w:space="0" w:color="auto"/>
                <w:right w:val="none" w:sz="0" w:space="0" w:color="auto"/>
              </w:divBdr>
              <w:divsChild>
                <w:div w:id="1715080984">
                  <w:marLeft w:val="0"/>
                  <w:marRight w:val="0"/>
                  <w:marTop w:val="0"/>
                  <w:marBottom w:val="0"/>
                  <w:divBdr>
                    <w:top w:val="none" w:sz="0" w:space="0" w:color="auto"/>
                    <w:left w:val="none" w:sz="0" w:space="0" w:color="auto"/>
                    <w:bottom w:val="none" w:sz="0" w:space="0" w:color="auto"/>
                    <w:right w:val="none" w:sz="0" w:space="0" w:color="auto"/>
                  </w:divBdr>
                </w:div>
              </w:divsChild>
            </w:div>
            <w:div w:id="17361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00141">
      <w:bodyDiv w:val="1"/>
      <w:marLeft w:val="0"/>
      <w:marRight w:val="0"/>
      <w:marTop w:val="0"/>
      <w:marBottom w:val="0"/>
      <w:divBdr>
        <w:top w:val="none" w:sz="0" w:space="0" w:color="auto"/>
        <w:left w:val="none" w:sz="0" w:space="0" w:color="auto"/>
        <w:bottom w:val="none" w:sz="0" w:space="0" w:color="auto"/>
        <w:right w:val="none" w:sz="0" w:space="0" w:color="auto"/>
      </w:divBdr>
      <w:divsChild>
        <w:div w:id="133449090">
          <w:marLeft w:val="0"/>
          <w:marRight w:val="0"/>
          <w:marTop w:val="0"/>
          <w:marBottom w:val="0"/>
          <w:divBdr>
            <w:top w:val="none" w:sz="0" w:space="0" w:color="auto"/>
            <w:left w:val="none" w:sz="0" w:space="0" w:color="auto"/>
            <w:bottom w:val="none" w:sz="0" w:space="0" w:color="auto"/>
            <w:right w:val="none" w:sz="0" w:space="0" w:color="auto"/>
          </w:divBdr>
          <w:divsChild>
            <w:div w:id="57829046">
              <w:marLeft w:val="0"/>
              <w:marRight w:val="0"/>
              <w:marTop w:val="0"/>
              <w:marBottom w:val="0"/>
              <w:divBdr>
                <w:top w:val="none" w:sz="0" w:space="0" w:color="auto"/>
                <w:left w:val="none" w:sz="0" w:space="0" w:color="auto"/>
                <w:bottom w:val="none" w:sz="0" w:space="0" w:color="auto"/>
                <w:right w:val="none" w:sz="0" w:space="0" w:color="auto"/>
              </w:divBdr>
              <w:divsChild>
                <w:div w:id="19119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145">
      <w:bodyDiv w:val="1"/>
      <w:marLeft w:val="0"/>
      <w:marRight w:val="0"/>
      <w:marTop w:val="0"/>
      <w:marBottom w:val="0"/>
      <w:divBdr>
        <w:top w:val="none" w:sz="0" w:space="0" w:color="auto"/>
        <w:left w:val="none" w:sz="0" w:space="0" w:color="auto"/>
        <w:bottom w:val="none" w:sz="0" w:space="0" w:color="auto"/>
        <w:right w:val="none" w:sz="0" w:space="0" w:color="auto"/>
      </w:divBdr>
    </w:div>
    <w:div w:id="589124374">
      <w:bodyDiv w:val="1"/>
      <w:marLeft w:val="0"/>
      <w:marRight w:val="0"/>
      <w:marTop w:val="0"/>
      <w:marBottom w:val="0"/>
      <w:divBdr>
        <w:top w:val="none" w:sz="0" w:space="0" w:color="auto"/>
        <w:left w:val="none" w:sz="0" w:space="0" w:color="auto"/>
        <w:bottom w:val="none" w:sz="0" w:space="0" w:color="auto"/>
        <w:right w:val="none" w:sz="0" w:space="0" w:color="auto"/>
      </w:divBdr>
      <w:divsChild>
        <w:div w:id="480000208">
          <w:marLeft w:val="0"/>
          <w:marRight w:val="0"/>
          <w:marTop w:val="0"/>
          <w:marBottom w:val="0"/>
          <w:divBdr>
            <w:top w:val="none" w:sz="0" w:space="0" w:color="auto"/>
            <w:left w:val="none" w:sz="0" w:space="0" w:color="auto"/>
            <w:bottom w:val="none" w:sz="0" w:space="0" w:color="auto"/>
            <w:right w:val="none" w:sz="0" w:space="0" w:color="auto"/>
          </w:divBdr>
          <w:divsChild>
            <w:div w:id="443501714">
              <w:marLeft w:val="0"/>
              <w:marRight w:val="0"/>
              <w:marTop w:val="0"/>
              <w:marBottom w:val="0"/>
              <w:divBdr>
                <w:top w:val="none" w:sz="0" w:space="0" w:color="auto"/>
                <w:left w:val="none" w:sz="0" w:space="0" w:color="auto"/>
                <w:bottom w:val="none" w:sz="0" w:space="0" w:color="auto"/>
                <w:right w:val="none" w:sz="0" w:space="0" w:color="auto"/>
              </w:divBdr>
              <w:divsChild>
                <w:div w:id="8348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6719">
      <w:bodyDiv w:val="1"/>
      <w:marLeft w:val="0"/>
      <w:marRight w:val="0"/>
      <w:marTop w:val="0"/>
      <w:marBottom w:val="0"/>
      <w:divBdr>
        <w:top w:val="none" w:sz="0" w:space="0" w:color="auto"/>
        <w:left w:val="none" w:sz="0" w:space="0" w:color="auto"/>
        <w:bottom w:val="none" w:sz="0" w:space="0" w:color="auto"/>
        <w:right w:val="none" w:sz="0" w:space="0" w:color="auto"/>
      </w:divBdr>
    </w:div>
    <w:div w:id="755396873">
      <w:bodyDiv w:val="1"/>
      <w:marLeft w:val="0"/>
      <w:marRight w:val="0"/>
      <w:marTop w:val="0"/>
      <w:marBottom w:val="0"/>
      <w:divBdr>
        <w:top w:val="none" w:sz="0" w:space="0" w:color="auto"/>
        <w:left w:val="none" w:sz="0" w:space="0" w:color="auto"/>
        <w:bottom w:val="none" w:sz="0" w:space="0" w:color="auto"/>
        <w:right w:val="none" w:sz="0" w:space="0" w:color="auto"/>
      </w:divBdr>
      <w:divsChild>
        <w:div w:id="95835720">
          <w:marLeft w:val="0"/>
          <w:marRight w:val="0"/>
          <w:marTop w:val="0"/>
          <w:marBottom w:val="0"/>
          <w:divBdr>
            <w:top w:val="none" w:sz="0" w:space="0" w:color="auto"/>
            <w:left w:val="none" w:sz="0" w:space="0" w:color="auto"/>
            <w:bottom w:val="none" w:sz="0" w:space="0" w:color="auto"/>
            <w:right w:val="none" w:sz="0" w:space="0" w:color="auto"/>
          </w:divBdr>
        </w:div>
        <w:div w:id="466124522">
          <w:marLeft w:val="0"/>
          <w:marRight w:val="0"/>
          <w:marTop w:val="0"/>
          <w:marBottom w:val="0"/>
          <w:divBdr>
            <w:top w:val="none" w:sz="0" w:space="0" w:color="auto"/>
            <w:left w:val="none" w:sz="0" w:space="0" w:color="auto"/>
            <w:bottom w:val="none" w:sz="0" w:space="0" w:color="auto"/>
            <w:right w:val="none" w:sz="0" w:space="0" w:color="auto"/>
          </w:divBdr>
        </w:div>
        <w:div w:id="998390468">
          <w:marLeft w:val="0"/>
          <w:marRight w:val="0"/>
          <w:marTop w:val="0"/>
          <w:marBottom w:val="0"/>
          <w:divBdr>
            <w:top w:val="none" w:sz="0" w:space="0" w:color="auto"/>
            <w:left w:val="none" w:sz="0" w:space="0" w:color="auto"/>
            <w:bottom w:val="none" w:sz="0" w:space="0" w:color="auto"/>
            <w:right w:val="none" w:sz="0" w:space="0" w:color="auto"/>
          </w:divBdr>
        </w:div>
        <w:div w:id="1933859074">
          <w:marLeft w:val="0"/>
          <w:marRight w:val="0"/>
          <w:marTop w:val="0"/>
          <w:marBottom w:val="0"/>
          <w:divBdr>
            <w:top w:val="none" w:sz="0" w:space="0" w:color="auto"/>
            <w:left w:val="none" w:sz="0" w:space="0" w:color="auto"/>
            <w:bottom w:val="none" w:sz="0" w:space="0" w:color="auto"/>
            <w:right w:val="none" w:sz="0" w:space="0" w:color="auto"/>
          </w:divBdr>
        </w:div>
      </w:divsChild>
    </w:div>
    <w:div w:id="797338254">
      <w:bodyDiv w:val="1"/>
      <w:marLeft w:val="0"/>
      <w:marRight w:val="0"/>
      <w:marTop w:val="0"/>
      <w:marBottom w:val="0"/>
      <w:divBdr>
        <w:top w:val="none" w:sz="0" w:space="0" w:color="auto"/>
        <w:left w:val="none" w:sz="0" w:space="0" w:color="auto"/>
        <w:bottom w:val="none" w:sz="0" w:space="0" w:color="auto"/>
        <w:right w:val="none" w:sz="0" w:space="0" w:color="auto"/>
      </w:divBdr>
    </w:div>
    <w:div w:id="840967360">
      <w:bodyDiv w:val="1"/>
      <w:marLeft w:val="0"/>
      <w:marRight w:val="0"/>
      <w:marTop w:val="0"/>
      <w:marBottom w:val="0"/>
      <w:divBdr>
        <w:top w:val="none" w:sz="0" w:space="0" w:color="auto"/>
        <w:left w:val="none" w:sz="0" w:space="0" w:color="auto"/>
        <w:bottom w:val="none" w:sz="0" w:space="0" w:color="auto"/>
        <w:right w:val="none" w:sz="0" w:space="0" w:color="auto"/>
      </w:divBdr>
      <w:divsChild>
        <w:div w:id="80880857">
          <w:marLeft w:val="0"/>
          <w:marRight w:val="0"/>
          <w:marTop w:val="0"/>
          <w:marBottom w:val="0"/>
          <w:divBdr>
            <w:top w:val="none" w:sz="0" w:space="0" w:color="auto"/>
            <w:left w:val="none" w:sz="0" w:space="0" w:color="auto"/>
            <w:bottom w:val="none" w:sz="0" w:space="0" w:color="auto"/>
            <w:right w:val="none" w:sz="0" w:space="0" w:color="auto"/>
          </w:divBdr>
          <w:divsChild>
            <w:div w:id="809127641">
              <w:marLeft w:val="0"/>
              <w:marRight w:val="0"/>
              <w:marTop w:val="0"/>
              <w:marBottom w:val="0"/>
              <w:divBdr>
                <w:top w:val="none" w:sz="0" w:space="0" w:color="auto"/>
                <w:left w:val="none" w:sz="0" w:space="0" w:color="auto"/>
                <w:bottom w:val="none" w:sz="0" w:space="0" w:color="auto"/>
                <w:right w:val="none" w:sz="0" w:space="0" w:color="auto"/>
              </w:divBdr>
              <w:divsChild>
                <w:div w:id="838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6157">
      <w:bodyDiv w:val="1"/>
      <w:marLeft w:val="0"/>
      <w:marRight w:val="0"/>
      <w:marTop w:val="0"/>
      <w:marBottom w:val="0"/>
      <w:divBdr>
        <w:top w:val="none" w:sz="0" w:space="0" w:color="auto"/>
        <w:left w:val="none" w:sz="0" w:space="0" w:color="auto"/>
        <w:bottom w:val="none" w:sz="0" w:space="0" w:color="auto"/>
        <w:right w:val="none" w:sz="0" w:space="0" w:color="auto"/>
      </w:divBdr>
      <w:divsChild>
        <w:div w:id="1107697984">
          <w:marLeft w:val="0"/>
          <w:marRight w:val="0"/>
          <w:marTop w:val="0"/>
          <w:marBottom w:val="0"/>
          <w:divBdr>
            <w:top w:val="none" w:sz="0" w:space="0" w:color="auto"/>
            <w:left w:val="none" w:sz="0" w:space="0" w:color="auto"/>
            <w:bottom w:val="none" w:sz="0" w:space="0" w:color="auto"/>
            <w:right w:val="none" w:sz="0" w:space="0" w:color="auto"/>
          </w:divBdr>
          <w:divsChild>
            <w:div w:id="1577592613">
              <w:marLeft w:val="0"/>
              <w:marRight w:val="0"/>
              <w:marTop w:val="0"/>
              <w:marBottom w:val="0"/>
              <w:divBdr>
                <w:top w:val="none" w:sz="0" w:space="0" w:color="auto"/>
                <w:left w:val="none" w:sz="0" w:space="0" w:color="auto"/>
                <w:bottom w:val="none" w:sz="0" w:space="0" w:color="auto"/>
                <w:right w:val="none" w:sz="0" w:space="0" w:color="auto"/>
              </w:divBdr>
              <w:divsChild>
                <w:div w:id="6437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86137">
      <w:bodyDiv w:val="1"/>
      <w:marLeft w:val="0"/>
      <w:marRight w:val="0"/>
      <w:marTop w:val="0"/>
      <w:marBottom w:val="0"/>
      <w:divBdr>
        <w:top w:val="none" w:sz="0" w:space="0" w:color="auto"/>
        <w:left w:val="none" w:sz="0" w:space="0" w:color="auto"/>
        <w:bottom w:val="none" w:sz="0" w:space="0" w:color="auto"/>
        <w:right w:val="none" w:sz="0" w:space="0" w:color="auto"/>
      </w:divBdr>
      <w:divsChild>
        <w:div w:id="261500122">
          <w:marLeft w:val="180"/>
          <w:marRight w:val="0"/>
          <w:marTop w:val="0"/>
          <w:marBottom w:val="0"/>
          <w:divBdr>
            <w:top w:val="none" w:sz="0" w:space="0" w:color="auto"/>
            <w:left w:val="none" w:sz="0" w:space="0" w:color="auto"/>
            <w:bottom w:val="none" w:sz="0" w:space="0" w:color="auto"/>
            <w:right w:val="none" w:sz="0" w:space="0" w:color="auto"/>
          </w:divBdr>
        </w:div>
        <w:div w:id="1634408510">
          <w:marLeft w:val="0"/>
          <w:marRight w:val="0"/>
          <w:marTop w:val="0"/>
          <w:marBottom w:val="0"/>
          <w:divBdr>
            <w:top w:val="none" w:sz="0" w:space="0" w:color="auto"/>
            <w:left w:val="none" w:sz="0" w:space="0" w:color="auto"/>
            <w:bottom w:val="none" w:sz="0" w:space="0" w:color="auto"/>
            <w:right w:val="none" w:sz="0" w:space="0" w:color="auto"/>
          </w:divBdr>
        </w:div>
      </w:divsChild>
    </w:div>
    <w:div w:id="899906841">
      <w:bodyDiv w:val="1"/>
      <w:marLeft w:val="0"/>
      <w:marRight w:val="0"/>
      <w:marTop w:val="0"/>
      <w:marBottom w:val="0"/>
      <w:divBdr>
        <w:top w:val="none" w:sz="0" w:space="0" w:color="auto"/>
        <w:left w:val="none" w:sz="0" w:space="0" w:color="auto"/>
        <w:bottom w:val="none" w:sz="0" w:space="0" w:color="auto"/>
        <w:right w:val="none" w:sz="0" w:space="0" w:color="auto"/>
      </w:divBdr>
      <w:divsChild>
        <w:div w:id="801461435">
          <w:marLeft w:val="0"/>
          <w:marRight w:val="0"/>
          <w:marTop w:val="0"/>
          <w:marBottom w:val="0"/>
          <w:divBdr>
            <w:top w:val="none" w:sz="0" w:space="0" w:color="auto"/>
            <w:left w:val="none" w:sz="0" w:space="0" w:color="auto"/>
            <w:bottom w:val="none" w:sz="0" w:space="0" w:color="auto"/>
            <w:right w:val="none" w:sz="0" w:space="0" w:color="auto"/>
          </w:divBdr>
          <w:divsChild>
            <w:div w:id="1273705680">
              <w:marLeft w:val="0"/>
              <w:marRight w:val="0"/>
              <w:marTop w:val="0"/>
              <w:marBottom w:val="0"/>
              <w:divBdr>
                <w:top w:val="none" w:sz="0" w:space="0" w:color="auto"/>
                <w:left w:val="none" w:sz="0" w:space="0" w:color="auto"/>
                <w:bottom w:val="none" w:sz="0" w:space="0" w:color="auto"/>
                <w:right w:val="none" w:sz="0" w:space="0" w:color="auto"/>
              </w:divBdr>
              <w:divsChild>
                <w:div w:id="13319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32107">
      <w:bodyDiv w:val="1"/>
      <w:marLeft w:val="0"/>
      <w:marRight w:val="0"/>
      <w:marTop w:val="0"/>
      <w:marBottom w:val="0"/>
      <w:divBdr>
        <w:top w:val="none" w:sz="0" w:space="0" w:color="auto"/>
        <w:left w:val="none" w:sz="0" w:space="0" w:color="auto"/>
        <w:bottom w:val="none" w:sz="0" w:space="0" w:color="auto"/>
        <w:right w:val="none" w:sz="0" w:space="0" w:color="auto"/>
      </w:divBdr>
      <w:divsChild>
        <w:div w:id="1085952872">
          <w:marLeft w:val="0"/>
          <w:marRight w:val="0"/>
          <w:marTop w:val="0"/>
          <w:marBottom w:val="0"/>
          <w:divBdr>
            <w:top w:val="none" w:sz="0" w:space="0" w:color="auto"/>
            <w:left w:val="none" w:sz="0" w:space="0" w:color="auto"/>
            <w:bottom w:val="none" w:sz="0" w:space="0" w:color="auto"/>
            <w:right w:val="none" w:sz="0" w:space="0" w:color="auto"/>
          </w:divBdr>
        </w:div>
        <w:div w:id="1630353420">
          <w:marLeft w:val="0"/>
          <w:marRight w:val="0"/>
          <w:marTop w:val="0"/>
          <w:marBottom w:val="0"/>
          <w:divBdr>
            <w:top w:val="none" w:sz="0" w:space="0" w:color="auto"/>
            <w:left w:val="none" w:sz="0" w:space="0" w:color="auto"/>
            <w:bottom w:val="none" w:sz="0" w:space="0" w:color="auto"/>
            <w:right w:val="none" w:sz="0" w:space="0" w:color="auto"/>
          </w:divBdr>
        </w:div>
        <w:div w:id="1867017927">
          <w:marLeft w:val="0"/>
          <w:marRight w:val="0"/>
          <w:marTop w:val="0"/>
          <w:marBottom w:val="0"/>
          <w:divBdr>
            <w:top w:val="none" w:sz="0" w:space="0" w:color="auto"/>
            <w:left w:val="none" w:sz="0" w:space="0" w:color="auto"/>
            <w:bottom w:val="none" w:sz="0" w:space="0" w:color="auto"/>
            <w:right w:val="none" w:sz="0" w:space="0" w:color="auto"/>
          </w:divBdr>
        </w:div>
        <w:div w:id="1922250878">
          <w:marLeft w:val="0"/>
          <w:marRight w:val="0"/>
          <w:marTop w:val="0"/>
          <w:marBottom w:val="0"/>
          <w:divBdr>
            <w:top w:val="none" w:sz="0" w:space="0" w:color="auto"/>
            <w:left w:val="none" w:sz="0" w:space="0" w:color="auto"/>
            <w:bottom w:val="none" w:sz="0" w:space="0" w:color="auto"/>
            <w:right w:val="none" w:sz="0" w:space="0" w:color="auto"/>
          </w:divBdr>
        </w:div>
      </w:divsChild>
    </w:div>
    <w:div w:id="1027022464">
      <w:bodyDiv w:val="1"/>
      <w:marLeft w:val="0"/>
      <w:marRight w:val="0"/>
      <w:marTop w:val="0"/>
      <w:marBottom w:val="0"/>
      <w:divBdr>
        <w:top w:val="none" w:sz="0" w:space="0" w:color="auto"/>
        <w:left w:val="none" w:sz="0" w:space="0" w:color="auto"/>
        <w:bottom w:val="none" w:sz="0" w:space="0" w:color="auto"/>
        <w:right w:val="none" w:sz="0" w:space="0" w:color="auto"/>
      </w:divBdr>
      <w:divsChild>
        <w:div w:id="71200594">
          <w:marLeft w:val="0"/>
          <w:marRight w:val="0"/>
          <w:marTop w:val="0"/>
          <w:marBottom w:val="0"/>
          <w:divBdr>
            <w:top w:val="none" w:sz="0" w:space="0" w:color="auto"/>
            <w:left w:val="none" w:sz="0" w:space="0" w:color="auto"/>
            <w:bottom w:val="none" w:sz="0" w:space="0" w:color="auto"/>
            <w:right w:val="none" w:sz="0" w:space="0" w:color="auto"/>
          </w:divBdr>
        </w:div>
        <w:div w:id="182480810">
          <w:marLeft w:val="0"/>
          <w:marRight w:val="0"/>
          <w:marTop w:val="0"/>
          <w:marBottom w:val="0"/>
          <w:divBdr>
            <w:top w:val="none" w:sz="0" w:space="0" w:color="auto"/>
            <w:left w:val="none" w:sz="0" w:space="0" w:color="auto"/>
            <w:bottom w:val="none" w:sz="0" w:space="0" w:color="auto"/>
            <w:right w:val="none" w:sz="0" w:space="0" w:color="auto"/>
          </w:divBdr>
        </w:div>
        <w:div w:id="291597400">
          <w:marLeft w:val="0"/>
          <w:marRight w:val="0"/>
          <w:marTop w:val="0"/>
          <w:marBottom w:val="0"/>
          <w:divBdr>
            <w:top w:val="none" w:sz="0" w:space="0" w:color="auto"/>
            <w:left w:val="none" w:sz="0" w:space="0" w:color="auto"/>
            <w:bottom w:val="none" w:sz="0" w:space="0" w:color="auto"/>
            <w:right w:val="none" w:sz="0" w:space="0" w:color="auto"/>
          </w:divBdr>
        </w:div>
        <w:div w:id="493301696">
          <w:marLeft w:val="0"/>
          <w:marRight w:val="0"/>
          <w:marTop w:val="0"/>
          <w:marBottom w:val="0"/>
          <w:divBdr>
            <w:top w:val="none" w:sz="0" w:space="0" w:color="auto"/>
            <w:left w:val="none" w:sz="0" w:space="0" w:color="auto"/>
            <w:bottom w:val="none" w:sz="0" w:space="0" w:color="auto"/>
            <w:right w:val="none" w:sz="0" w:space="0" w:color="auto"/>
          </w:divBdr>
        </w:div>
        <w:div w:id="503742080">
          <w:marLeft w:val="0"/>
          <w:marRight w:val="0"/>
          <w:marTop w:val="0"/>
          <w:marBottom w:val="0"/>
          <w:divBdr>
            <w:top w:val="none" w:sz="0" w:space="0" w:color="auto"/>
            <w:left w:val="none" w:sz="0" w:space="0" w:color="auto"/>
            <w:bottom w:val="none" w:sz="0" w:space="0" w:color="auto"/>
            <w:right w:val="none" w:sz="0" w:space="0" w:color="auto"/>
          </w:divBdr>
        </w:div>
        <w:div w:id="523642162">
          <w:marLeft w:val="0"/>
          <w:marRight w:val="0"/>
          <w:marTop w:val="0"/>
          <w:marBottom w:val="0"/>
          <w:divBdr>
            <w:top w:val="none" w:sz="0" w:space="0" w:color="auto"/>
            <w:left w:val="none" w:sz="0" w:space="0" w:color="auto"/>
            <w:bottom w:val="none" w:sz="0" w:space="0" w:color="auto"/>
            <w:right w:val="none" w:sz="0" w:space="0" w:color="auto"/>
          </w:divBdr>
        </w:div>
        <w:div w:id="860358918">
          <w:marLeft w:val="0"/>
          <w:marRight w:val="0"/>
          <w:marTop w:val="0"/>
          <w:marBottom w:val="0"/>
          <w:divBdr>
            <w:top w:val="none" w:sz="0" w:space="0" w:color="auto"/>
            <w:left w:val="none" w:sz="0" w:space="0" w:color="auto"/>
            <w:bottom w:val="none" w:sz="0" w:space="0" w:color="auto"/>
            <w:right w:val="none" w:sz="0" w:space="0" w:color="auto"/>
          </w:divBdr>
        </w:div>
        <w:div w:id="863447046">
          <w:marLeft w:val="0"/>
          <w:marRight w:val="0"/>
          <w:marTop w:val="0"/>
          <w:marBottom w:val="0"/>
          <w:divBdr>
            <w:top w:val="none" w:sz="0" w:space="0" w:color="auto"/>
            <w:left w:val="none" w:sz="0" w:space="0" w:color="auto"/>
            <w:bottom w:val="none" w:sz="0" w:space="0" w:color="auto"/>
            <w:right w:val="none" w:sz="0" w:space="0" w:color="auto"/>
          </w:divBdr>
        </w:div>
        <w:div w:id="953248767">
          <w:marLeft w:val="0"/>
          <w:marRight w:val="0"/>
          <w:marTop w:val="0"/>
          <w:marBottom w:val="0"/>
          <w:divBdr>
            <w:top w:val="none" w:sz="0" w:space="0" w:color="auto"/>
            <w:left w:val="none" w:sz="0" w:space="0" w:color="auto"/>
            <w:bottom w:val="none" w:sz="0" w:space="0" w:color="auto"/>
            <w:right w:val="none" w:sz="0" w:space="0" w:color="auto"/>
          </w:divBdr>
        </w:div>
        <w:div w:id="1025600002">
          <w:marLeft w:val="0"/>
          <w:marRight w:val="0"/>
          <w:marTop w:val="0"/>
          <w:marBottom w:val="0"/>
          <w:divBdr>
            <w:top w:val="none" w:sz="0" w:space="0" w:color="auto"/>
            <w:left w:val="none" w:sz="0" w:space="0" w:color="auto"/>
            <w:bottom w:val="none" w:sz="0" w:space="0" w:color="auto"/>
            <w:right w:val="none" w:sz="0" w:space="0" w:color="auto"/>
          </w:divBdr>
        </w:div>
        <w:div w:id="1193106853">
          <w:marLeft w:val="0"/>
          <w:marRight w:val="0"/>
          <w:marTop w:val="0"/>
          <w:marBottom w:val="0"/>
          <w:divBdr>
            <w:top w:val="none" w:sz="0" w:space="0" w:color="auto"/>
            <w:left w:val="none" w:sz="0" w:space="0" w:color="auto"/>
            <w:bottom w:val="none" w:sz="0" w:space="0" w:color="auto"/>
            <w:right w:val="none" w:sz="0" w:space="0" w:color="auto"/>
          </w:divBdr>
        </w:div>
        <w:div w:id="1223324793">
          <w:marLeft w:val="180"/>
          <w:marRight w:val="0"/>
          <w:marTop w:val="0"/>
          <w:marBottom w:val="0"/>
          <w:divBdr>
            <w:top w:val="none" w:sz="0" w:space="0" w:color="auto"/>
            <w:left w:val="none" w:sz="0" w:space="0" w:color="auto"/>
            <w:bottom w:val="none" w:sz="0" w:space="0" w:color="auto"/>
            <w:right w:val="none" w:sz="0" w:space="0" w:color="auto"/>
          </w:divBdr>
        </w:div>
        <w:div w:id="1254246761">
          <w:marLeft w:val="0"/>
          <w:marRight w:val="0"/>
          <w:marTop w:val="0"/>
          <w:marBottom w:val="0"/>
          <w:divBdr>
            <w:top w:val="none" w:sz="0" w:space="0" w:color="auto"/>
            <w:left w:val="none" w:sz="0" w:space="0" w:color="auto"/>
            <w:bottom w:val="none" w:sz="0" w:space="0" w:color="auto"/>
            <w:right w:val="none" w:sz="0" w:space="0" w:color="auto"/>
          </w:divBdr>
        </w:div>
        <w:div w:id="1325281849">
          <w:marLeft w:val="0"/>
          <w:marRight w:val="0"/>
          <w:marTop w:val="0"/>
          <w:marBottom w:val="0"/>
          <w:divBdr>
            <w:top w:val="none" w:sz="0" w:space="0" w:color="auto"/>
            <w:left w:val="none" w:sz="0" w:space="0" w:color="auto"/>
            <w:bottom w:val="none" w:sz="0" w:space="0" w:color="auto"/>
            <w:right w:val="none" w:sz="0" w:space="0" w:color="auto"/>
          </w:divBdr>
        </w:div>
        <w:div w:id="1427842090">
          <w:marLeft w:val="180"/>
          <w:marRight w:val="0"/>
          <w:marTop w:val="0"/>
          <w:marBottom w:val="0"/>
          <w:divBdr>
            <w:top w:val="none" w:sz="0" w:space="0" w:color="auto"/>
            <w:left w:val="none" w:sz="0" w:space="0" w:color="auto"/>
            <w:bottom w:val="none" w:sz="0" w:space="0" w:color="auto"/>
            <w:right w:val="none" w:sz="0" w:space="0" w:color="auto"/>
          </w:divBdr>
        </w:div>
        <w:div w:id="1586525644">
          <w:marLeft w:val="180"/>
          <w:marRight w:val="0"/>
          <w:marTop w:val="0"/>
          <w:marBottom w:val="0"/>
          <w:divBdr>
            <w:top w:val="none" w:sz="0" w:space="0" w:color="auto"/>
            <w:left w:val="none" w:sz="0" w:space="0" w:color="auto"/>
            <w:bottom w:val="none" w:sz="0" w:space="0" w:color="auto"/>
            <w:right w:val="none" w:sz="0" w:space="0" w:color="auto"/>
          </w:divBdr>
        </w:div>
        <w:div w:id="1687559132">
          <w:marLeft w:val="0"/>
          <w:marRight w:val="0"/>
          <w:marTop w:val="0"/>
          <w:marBottom w:val="0"/>
          <w:divBdr>
            <w:top w:val="none" w:sz="0" w:space="0" w:color="auto"/>
            <w:left w:val="none" w:sz="0" w:space="0" w:color="auto"/>
            <w:bottom w:val="none" w:sz="0" w:space="0" w:color="auto"/>
            <w:right w:val="none" w:sz="0" w:space="0" w:color="auto"/>
          </w:divBdr>
        </w:div>
        <w:div w:id="1828789780">
          <w:marLeft w:val="0"/>
          <w:marRight w:val="0"/>
          <w:marTop w:val="0"/>
          <w:marBottom w:val="0"/>
          <w:divBdr>
            <w:top w:val="none" w:sz="0" w:space="0" w:color="auto"/>
            <w:left w:val="none" w:sz="0" w:space="0" w:color="auto"/>
            <w:bottom w:val="none" w:sz="0" w:space="0" w:color="auto"/>
            <w:right w:val="none" w:sz="0" w:space="0" w:color="auto"/>
          </w:divBdr>
        </w:div>
        <w:div w:id="1857108782">
          <w:marLeft w:val="0"/>
          <w:marRight w:val="0"/>
          <w:marTop w:val="0"/>
          <w:marBottom w:val="0"/>
          <w:divBdr>
            <w:top w:val="none" w:sz="0" w:space="0" w:color="auto"/>
            <w:left w:val="none" w:sz="0" w:space="0" w:color="auto"/>
            <w:bottom w:val="none" w:sz="0" w:space="0" w:color="auto"/>
            <w:right w:val="none" w:sz="0" w:space="0" w:color="auto"/>
          </w:divBdr>
        </w:div>
        <w:div w:id="1870413954">
          <w:marLeft w:val="0"/>
          <w:marRight w:val="0"/>
          <w:marTop w:val="0"/>
          <w:marBottom w:val="0"/>
          <w:divBdr>
            <w:top w:val="none" w:sz="0" w:space="0" w:color="auto"/>
            <w:left w:val="none" w:sz="0" w:space="0" w:color="auto"/>
            <w:bottom w:val="none" w:sz="0" w:space="0" w:color="auto"/>
            <w:right w:val="none" w:sz="0" w:space="0" w:color="auto"/>
          </w:divBdr>
        </w:div>
        <w:div w:id="1888759943">
          <w:marLeft w:val="0"/>
          <w:marRight w:val="0"/>
          <w:marTop w:val="0"/>
          <w:marBottom w:val="0"/>
          <w:divBdr>
            <w:top w:val="none" w:sz="0" w:space="0" w:color="auto"/>
            <w:left w:val="none" w:sz="0" w:space="0" w:color="auto"/>
            <w:bottom w:val="none" w:sz="0" w:space="0" w:color="auto"/>
            <w:right w:val="none" w:sz="0" w:space="0" w:color="auto"/>
          </w:divBdr>
        </w:div>
        <w:div w:id="1935623450">
          <w:marLeft w:val="0"/>
          <w:marRight w:val="0"/>
          <w:marTop w:val="0"/>
          <w:marBottom w:val="0"/>
          <w:divBdr>
            <w:top w:val="none" w:sz="0" w:space="0" w:color="auto"/>
            <w:left w:val="none" w:sz="0" w:space="0" w:color="auto"/>
            <w:bottom w:val="none" w:sz="0" w:space="0" w:color="auto"/>
            <w:right w:val="none" w:sz="0" w:space="0" w:color="auto"/>
          </w:divBdr>
        </w:div>
        <w:div w:id="2020961241">
          <w:marLeft w:val="0"/>
          <w:marRight w:val="0"/>
          <w:marTop w:val="0"/>
          <w:marBottom w:val="0"/>
          <w:divBdr>
            <w:top w:val="none" w:sz="0" w:space="0" w:color="auto"/>
            <w:left w:val="none" w:sz="0" w:space="0" w:color="auto"/>
            <w:bottom w:val="none" w:sz="0" w:space="0" w:color="auto"/>
            <w:right w:val="none" w:sz="0" w:space="0" w:color="auto"/>
          </w:divBdr>
        </w:div>
        <w:div w:id="2052730695">
          <w:marLeft w:val="0"/>
          <w:marRight w:val="0"/>
          <w:marTop w:val="0"/>
          <w:marBottom w:val="0"/>
          <w:divBdr>
            <w:top w:val="none" w:sz="0" w:space="0" w:color="auto"/>
            <w:left w:val="none" w:sz="0" w:space="0" w:color="auto"/>
            <w:bottom w:val="none" w:sz="0" w:space="0" w:color="auto"/>
            <w:right w:val="none" w:sz="0" w:space="0" w:color="auto"/>
          </w:divBdr>
        </w:div>
        <w:div w:id="2076278660">
          <w:marLeft w:val="0"/>
          <w:marRight w:val="0"/>
          <w:marTop w:val="0"/>
          <w:marBottom w:val="0"/>
          <w:divBdr>
            <w:top w:val="none" w:sz="0" w:space="0" w:color="auto"/>
            <w:left w:val="none" w:sz="0" w:space="0" w:color="auto"/>
            <w:bottom w:val="none" w:sz="0" w:space="0" w:color="auto"/>
            <w:right w:val="none" w:sz="0" w:space="0" w:color="auto"/>
          </w:divBdr>
        </w:div>
        <w:div w:id="2078821021">
          <w:marLeft w:val="0"/>
          <w:marRight w:val="0"/>
          <w:marTop w:val="0"/>
          <w:marBottom w:val="0"/>
          <w:divBdr>
            <w:top w:val="none" w:sz="0" w:space="0" w:color="auto"/>
            <w:left w:val="none" w:sz="0" w:space="0" w:color="auto"/>
            <w:bottom w:val="none" w:sz="0" w:space="0" w:color="auto"/>
            <w:right w:val="none" w:sz="0" w:space="0" w:color="auto"/>
          </w:divBdr>
        </w:div>
      </w:divsChild>
    </w:div>
    <w:div w:id="1087268079">
      <w:bodyDiv w:val="1"/>
      <w:marLeft w:val="0"/>
      <w:marRight w:val="0"/>
      <w:marTop w:val="0"/>
      <w:marBottom w:val="0"/>
      <w:divBdr>
        <w:top w:val="none" w:sz="0" w:space="0" w:color="auto"/>
        <w:left w:val="none" w:sz="0" w:space="0" w:color="auto"/>
        <w:bottom w:val="none" w:sz="0" w:space="0" w:color="auto"/>
        <w:right w:val="none" w:sz="0" w:space="0" w:color="auto"/>
      </w:divBdr>
    </w:div>
    <w:div w:id="1213882167">
      <w:bodyDiv w:val="1"/>
      <w:marLeft w:val="0"/>
      <w:marRight w:val="0"/>
      <w:marTop w:val="0"/>
      <w:marBottom w:val="0"/>
      <w:divBdr>
        <w:top w:val="none" w:sz="0" w:space="0" w:color="auto"/>
        <w:left w:val="none" w:sz="0" w:space="0" w:color="auto"/>
        <w:bottom w:val="none" w:sz="0" w:space="0" w:color="auto"/>
        <w:right w:val="none" w:sz="0" w:space="0" w:color="auto"/>
      </w:divBdr>
      <w:divsChild>
        <w:div w:id="1668942">
          <w:marLeft w:val="0"/>
          <w:marRight w:val="0"/>
          <w:marTop w:val="0"/>
          <w:marBottom w:val="0"/>
          <w:divBdr>
            <w:top w:val="none" w:sz="0" w:space="0" w:color="auto"/>
            <w:left w:val="none" w:sz="0" w:space="0" w:color="auto"/>
            <w:bottom w:val="none" w:sz="0" w:space="0" w:color="auto"/>
            <w:right w:val="none" w:sz="0" w:space="0" w:color="auto"/>
          </w:divBdr>
        </w:div>
        <w:div w:id="3869694">
          <w:marLeft w:val="0"/>
          <w:marRight w:val="0"/>
          <w:marTop w:val="0"/>
          <w:marBottom w:val="0"/>
          <w:divBdr>
            <w:top w:val="none" w:sz="0" w:space="0" w:color="auto"/>
            <w:left w:val="none" w:sz="0" w:space="0" w:color="auto"/>
            <w:bottom w:val="none" w:sz="0" w:space="0" w:color="auto"/>
            <w:right w:val="none" w:sz="0" w:space="0" w:color="auto"/>
          </w:divBdr>
        </w:div>
        <w:div w:id="26032934">
          <w:marLeft w:val="0"/>
          <w:marRight w:val="0"/>
          <w:marTop w:val="0"/>
          <w:marBottom w:val="0"/>
          <w:divBdr>
            <w:top w:val="none" w:sz="0" w:space="0" w:color="auto"/>
            <w:left w:val="none" w:sz="0" w:space="0" w:color="auto"/>
            <w:bottom w:val="none" w:sz="0" w:space="0" w:color="auto"/>
            <w:right w:val="none" w:sz="0" w:space="0" w:color="auto"/>
          </w:divBdr>
        </w:div>
        <w:div w:id="28574019">
          <w:marLeft w:val="0"/>
          <w:marRight w:val="0"/>
          <w:marTop w:val="0"/>
          <w:marBottom w:val="0"/>
          <w:divBdr>
            <w:top w:val="none" w:sz="0" w:space="0" w:color="auto"/>
            <w:left w:val="none" w:sz="0" w:space="0" w:color="auto"/>
            <w:bottom w:val="none" w:sz="0" w:space="0" w:color="auto"/>
            <w:right w:val="none" w:sz="0" w:space="0" w:color="auto"/>
          </w:divBdr>
        </w:div>
        <w:div w:id="93596359">
          <w:marLeft w:val="0"/>
          <w:marRight w:val="0"/>
          <w:marTop w:val="0"/>
          <w:marBottom w:val="0"/>
          <w:divBdr>
            <w:top w:val="none" w:sz="0" w:space="0" w:color="auto"/>
            <w:left w:val="none" w:sz="0" w:space="0" w:color="auto"/>
            <w:bottom w:val="none" w:sz="0" w:space="0" w:color="auto"/>
            <w:right w:val="none" w:sz="0" w:space="0" w:color="auto"/>
          </w:divBdr>
        </w:div>
        <w:div w:id="116266022">
          <w:marLeft w:val="0"/>
          <w:marRight w:val="0"/>
          <w:marTop w:val="0"/>
          <w:marBottom w:val="0"/>
          <w:divBdr>
            <w:top w:val="none" w:sz="0" w:space="0" w:color="auto"/>
            <w:left w:val="none" w:sz="0" w:space="0" w:color="auto"/>
            <w:bottom w:val="none" w:sz="0" w:space="0" w:color="auto"/>
            <w:right w:val="none" w:sz="0" w:space="0" w:color="auto"/>
          </w:divBdr>
        </w:div>
        <w:div w:id="137889444">
          <w:marLeft w:val="0"/>
          <w:marRight w:val="0"/>
          <w:marTop w:val="0"/>
          <w:marBottom w:val="0"/>
          <w:divBdr>
            <w:top w:val="none" w:sz="0" w:space="0" w:color="auto"/>
            <w:left w:val="none" w:sz="0" w:space="0" w:color="auto"/>
            <w:bottom w:val="none" w:sz="0" w:space="0" w:color="auto"/>
            <w:right w:val="none" w:sz="0" w:space="0" w:color="auto"/>
          </w:divBdr>
        </w:div>
        <w:div w:id="164827796">
          <w:marLeft w:val="0"/>
          <w:marRight w:val="0"/>
          <w:marTop w:val="0"/>
          <w:marBottom w:val="0"/>
          <w:divBdr>
            <w:top w:val="none" w:sz="0" w:space="0" w:color="auto"/>
            <w:left w:val="none" w:sz="0" w:space="0" w:color="auto"/>
            <w:bottom w:val="none" w:sz="0" w:space="0" w:color="auto"/>
            <w:right w:val="none" w:sz="0" w:space="0" w:color="auto"/>
          </w:divBdr>
        </w:div>
        <w:div w:id="234901859">
          <w:marLeft w:val="0"/>
          <w:marRight w:val="0"/>
          <w:marTop w:val="0"/>
          <w:marBottom w:val="0"/>
          <w:divBdr>
            <w:top w:val="none" w:sz="0" w:space="0" w:color="auto"/>
            <w:left w:val="none" w:sz="0" w:space="0" w:color="auto"/>
            <w:bottom w:val="none" w:sz="0" w:space="0" w:color="auto"/>
            <w:right w:val="none" w:sz="0" w:space="0" w:color="auto"/>
          </w:divBdr>
        </w:div>
        <w:div w:id="244193789">
          <w:marLeft w:val="0"/>
          <w:marRight w:val="0"/>
          <w:marTop w:val="0"/>
          <w:marBottom w:val="0"/>
          <w:divBdr>
            <w:top w:val="none" w:sz="0" w:space="0" w:color="auto"/>
            <w:left w:val="none" w:sz="0" w:space="0" w:color="auto"/>
            <w:bottom w:val="none" w:sz="0" w:space="0" w:color="auto"/>
            <w:right w:val="none" w:sz="0" w:space="0" w:color="auto"/>
          </w:divBdr>
        </w:div>
        <w:div w:id="262883109">
          <w:marLeft w:val="0"/>
          <w:marRight w:val="0"/>
          <w:marTop w:val="0"/>
          <w:marBottom w:val="0"/>
          <w:divBdr>
            <w:top w:val="none" w:sz="0" w:space="0" w:color="auto"/>
            <w:left w:val="none" w:sz="0" w:space="0" w:color="auto"/>
            <w:bottom w:val="none" w:sz="0" w:space="0" w:color="auto"/>
            <w:right w:val="none" w:sz="0" w:space="0" w:color="auto"/>
          </w:divBdr>
        </w:div>
        <w:div w:id="283657404">
          <w:marLeft w:val="180"/>
          <w:marRight w:val="0"/>
          <w:marTop w:val="0"/>
          <w:marBottom w:val="0"/>
          <w:divBdr>
            <w:top w:val="none" w:sz="0" w:space="0" w:color="auto"/>
            <w:left w:val="none" w:sz="0" w:space="0" w:color="auto"/>
            <w:bottom w:val="none" w:sz="0" w:space="0" w:color="auto"/>
            <w:right w:val="none" w:sz="0" w:space="0" w:color="auto"/>
          </w:divBdr>
        </w:div>
        <w:div w:id="287510516">
          <w:marLeft w:val="0"/>
          <w:marRight w:val="0"/>
          <w:marTop w:val="0"/>
          <w:marBottom w:val="0"/>
          <w:divBdr>
            <w:top w:val="none" w:sz="0" w:space="0" w:color="auto"/>
            <w:left w:val="none" w:sz="0" w:space="0" w:color="auto"/>
            <w:bottom w:val="none" w:sz="0" w:space="0" w:color="auto"/>
            <w:right w:val="none" w:sz="0" w:space="0" w:color="auto"/>
          </w:divBdr>
        </w:div>
        <w:div w:id="358625228">
          <w:marLeft w:val="0"/>
          <w:marRight w:val="0"/>
          <w:marTop w:val="0"/>
          <w:marBottom w:val="0"/>
          <w:divBdr>
            <w:top w:val="none" w:sz="0" w:space="0" w:color="auto"/>
            <w:left w:val="none" w:sz="0" w:space="0" w:color="auto"/>
            <w:bottom w:val="none" w:sz="0" w:space="0" w:color="auto"/>
            <w:right w:val="none" w:sz="0" w:space="0" w:color="auto"/>
          </w:divBdr>
        </w:div>
        <w:div w:id="383335219">
          <w:marLeft w:val="0"/>
          <w:marRight w:val="0"/>
          <w:marTop w:val="0"/>
          <w:marBottom w:val="0"/>
          <w:divBdr>
            <w:top w:val="none" w:sz="0" w:space="0" w:color="auto"/>
            <w:left w:val="none" w:sz="0" w:space="0" w:color="auto"/>
            <w:bottom w:val="none" w:sz="0" w:space="0" w:color="auto"/>
            <w:right w:val="none" w:sz="0" w:space="0" w:color="auto"/>
          </w:divBdr>
        </w:div>
        <w:div w:id="447090401">
          <w:marLeft w:val="180"/>
          <w:marRight w:val="0"/>
          <w:marTop w:val="0"/>
          <w:marBottom w:val="0"/>
          <w:divBdr>
            <w:top w:val="none" w:sz="0" w:space="0" w:color="auto"/>
            <w:left w:val="none" w:sz="0" w:space="0" w:color="auto"/>
            <w:bottom w:val="none" w:sz="0" w:space="0" w:color="auto"/>
            <w:right w:val="none" w:sz="0" w:space="0" w:color="auto"/>
          </w:divBdr>
        </w:div>
        <w:div w:id="495803112">
          <w:marLeft w:val="0"/>
          <w:marRight w:val="0"/>
          <w:marTop w:val="0"/>
          <w:marBottom w:val="0"/>
          <w:divBdr>
            <w:top w:val="none" w:sz="0" w:space="0" w:color="auto"/>
            <w:left w:val="none" w:sz="0" w:space="0" w:color="auto"/>
            <w:bottom w:val="none" w:sz="0" w:space="0" w:color="auto"/>
            <w:right w:val="none" w:sz="0" w:space="0" w:color="auto"/>
          </w:divBdr>
        </w:div>
        <w:div w:id="524296795">
          <w:marLeft w:val="0"/>
          <w:marRight w:val="0"/>
          <w:marTop w:val="0"/>
          <w:marBottom w:val="0"/>
          <w:divBdr>
            <w:top w:val="none" w:sz="0" w:space="0" w:color="auto"/>
            <w:left w:val="none" w:sz="0" w:space="0" w:color="auto"/>
            <w:bottom w:val="none" w:sz="0" w:space="0" w:color="auto"/>
            <w:right w:val="none" w:sz="0" w:space="0" w:color="auto"/>
          </w:divBdr>
        </w:div>
        <w:div w:id="536503405">
          <w:marLeft w:val="0"/>
          <w:marRight w:val="0"/>
          <w:marTop w:val="0"/>
          <w:marBottom w:val="0"/>
          <w:divBdr>
            <w:top w:val="none" w:sz="0" w:space="0" w:color="auto"/>
            <w:left w:val="none" w:sz="0" w:space="0" w:color="auto"/>
            <w:bottom w:val="none" w:sz="0" w:space="0" w:color="auto"/>
            <w:right w:val="none" w:sz="0" w:space="0" w:color="auto"/>
          </w:divBdr>
        </w:div>
        <w:div w:id="542133424">
          <w:marLeft w:val="0"/>
          <w:marRight w:val="0"/>
          <w:marTop w:val="0"/>
          <w:marBottom w:val="0"/>
          <w:divBdr>
            <w:top w:val="none" w:sz="0" w:space="0" w:color="auto"/>
            <w:left w:val="none" w:sz="0" w:space="0" w:color="auto"/>
            <w:bottom w:val="none" w:sz="0" w:space="0" w:color="auto"/>
            <w:right w:val="none" w:sz="0" w:space="0" w:color="auto"/>
          </w:divBdr>
        </w:div>
        <w:div w:id="558595668">
          <w:marLeft w:val="0"/>
          <w:marRight w:val="0"/>
          <w:marTop w:val="0"/>
          <w:marBottom w:val="0"/>
          <w:divBdr>
            <w:top w:val="none" w:sz="0" w:space="0" w:color="auto"/>
            <w:left w:val="none" w:sz="0" w:space="0" w:color="auto"/>
            <w:bottom w:val="none" w:sz="0" w:space="0" w:color="auto"/>
            <w:right w:val="none" w:sz="0" w:space="0" w:color="auto"/>
          </w:divBdr>
        </w:div>
        <w:div w:id="564148066">
          <w:marLeft w:val="180"/>
          <w:marRight w:val="0"/>
          <w:marTop w:val="0"/>
          <w:marBottom w:val="0"/>
          <w:divBdr>
            <w:top w:val="none" w:sz="0" w:space="0" w:color="auto"/>
            <w:left w:val="none" w:sz="0" w:space="0" w:color="auto"/>
            <w:bottom w:val="none" w:sz="0" w:space="0" w:color="auto"/>
            <w:right w:val="none" w:sz="0" w:space="0" w:color="auto"/>
          </w:divBdr>
        </w:div>
        <w:div w:id="565192308">
          <w:marLeft w:val="0"/>
          <w:marRight w:val="0"/>
          <w:marTop w:val="0"/>
          <w:marBottom w:val="0"/>
          <w:divBdr>
            <w:top w:val="none" w:sz="0" w:space="0" w:color="auto"/>
            <w:left w:val="none" w:sz="0" w:space="0" w:color="auto"/>
            <w:bottom w:val="none" w:sz="0" w:space="0" w:color="auto"/>
            <w:right w:val="none" w:sz="0" w:space="0" w:color="auto"/>
          </w:divBdr>
        </w:div>
        <w:div w:id="586155758">
          <w:marLeft w:val="0"/>
          <w:marRight w:val="0"/>
          <w:marTop w:val="0"/>
          <w:marBottom w:val="0"/>
          <w:divBdr>
            <w:top w:val="none" w:sz="0" w:space="0" w:color="auto"/>
            <w:left w:val="none" w:sz="0" w:space="0" w:color="auto"/>
            <w:bottom w:val="none" w:sz="0" w:space="0" w:color="auto"/>
            <w:right w:val="none" w:sz="0" w:space="0" w:color="auto"/>
          </w:divBdr>
        </w:div>
        <w:div w:id="622617199">
          <w:marLeft w:val="0"/>
          <w:marRight w:val="0"/>
          <w:marTop w:val="0"/>
          <w:marBottom w:val="0"/>
          <w:divBdr>
            <w:top w:val="none" w:sz="0" w:space="0" w:color="auto"/>
            <w:left w:val="none" w:sz="0" w:space="0" w:color="auto"/>
            <w:bottom w:val="none" w:sz="0" w:space="0" w:color="auto"/>
            <w:right w:val="none" w:sz="0" w:space="0" w:color="auto"/>
          </w:divBdr>
        </w:div>
        <w:div w:id="669258698">
          <w:marLeft w:val="0"/>
          <w:marRight w:val="0"/>
          <w:marTop w:val="0"/>
          <w:marBottom w:val="0"/>
          <w:divBdr>
            <w:top w:val="none" w:sz="0" w:space="0" w:color="auto"/>
            <w:left w:val="none" w:sz="0" w:space="0" w:color="auto"/>
            <w:bottom w:val="none" w:sz="0" w:space="0" w:color="auto"/>
            <w:right w:val="none" w:sz="0" w:space="0" w:color="auto"/>
          </w:divBdr>
        </w:div>
        <w:div w:id="699866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291583">
          <w:marLeft w:val="0"/>
          <w:marRight w:val="0"/>
          <w:marTop w:val="0"/>
          <w:marBottom w:val="0"/>
          <w:divBdr>
            <w:top w:val="none" w:sz="0" w:space="0" w:color="auto"/>
            <w:left w:val="none" w:sz="0" w:space="0" w:color="auto"/>
            <w:bottom w:val="none" w:sz="0" w:space="0" w:color="auto"/>
            <w:right w:val="none" w:sz="0" w:space="0" w:color="auto"/>
          </w:divBdr>
        </w:div>
        <w:div w:id="725299011">
          <w:marLeft w:val="0"/>
          <w:marRight w:val="0"/>
          <w:marTop w:val="0"/>
          <w:marBottom w:val="0"/>
          <w:divBdr>
            <w:top w:val="none" w:sz="0" w:space="0" w:color="auto"/>
            <w:left w:val="none" w:sz="0" w:space="0" w:color="auto"/>
            <w:bottom w:val="none" w:sz="0" w:space="0" w:color="auto"/>
            <w:right w:val="none" w:sz="0" w:space="0" w:color="auto"/>
          </w:divBdr>
        </w:div>
        <w:div w:id="735981091">
          <w:marLeft w:val="0"/>
          <w:marRight w:val="0"/>
          <w:marTop w:val="0"/>
          <w:marBottom w:val="0"/>
          <w:divBdr>
            <w:top w:val="none" w:sz="0" w:space="0" w:color="auto"/>
            <w:left w:val="none" w:sz="0" w:space="0" w:color="auto"/>
            <w:bottom w:val="none" w:sz="0" w:space="0" w:color="auto"/>
            <w:right w:val="none" w:sz="0" w:space="0" w:color="auto"/>
          </w:divBdr>
        </w:div>
        <w:div w:id="758910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15687452">
          <w:marLeft w:val="0"/>
          <w:marRight w:val="0"/>
          <w:marTop w:val="0"/>
          <w:marBottom w:val="0"/>
          <w:divBdr>
            <w:top w:val="none" w:sz="0" w:space="0" w:color="auto"/>
            <w:left w:val="none" w:sz="0" w:space="0" w:color="auto"/>
            <w:bottom w:val="none" w:sz="0" w:space="0" w:color="auto"/>
            <w:right w:val="none" w:sz="0" w:space="0" w:color="auto"/>
          </w:divBdr>
        </w:div>
        <w:div w:id="828205634">
          <w:marLeft w:val="0"/>
          <w:marRight w:val="0"/>
          <w:marTop w:val="0"/>
          <w:marBottom w:val="0"/>
          <w:divBdr>
            <w:top w:val="none" w:sz="0" w:space="0" w:color="auto"/>
            <w:left w:val="none" w:sz="0" w:space="0" w:color="auto"/>
            <w:bottom w:val="none" w:sz="0" w:space="0" w:color="auto"/>
            <w:right w:val="none" w:sz="0" w:space="0" w:color="auto"/>
          </w:divBdr>
        </w:div>
        <w:div w:id="879439347">
          <w:blockQuote w:val="1"/>
          <w:marLeft w:val="720"/>
          <w:marRight w:val="720"/>
          <w:marTop w:val="100"/>
          <w:marBottom w:val="100"/>
          <w:divBdr>
            <w:top w:val="none" w:sz="0" w:space="0" w:color="auto"/>
            <w:left w:val="none" w:sz="0" w:space="0" w:color="auto"/>
            <w:bottom w:val="none" w:sz="0" w:space="0" w:color="auto"/>
            <w:right w:val="none" w:sz="0" w:space="0" w:color="auto"/>
          </w:divBdr>
        </w:div>
        <w:div w:id="944926294">
          <w:marLeft w:val="0"/>
          <w:marRight w:val="0"/>
          <w:marTop w:val="0"/>
          <w:marBottom w:val="0"/>
          <w:divBdr>
            <w:top w:val="none" w:sz="0" w:space="0" w:color="auto"/>
            <w:left w:val="none" w:sz="0" w:space="0" w:color="auto"/>
            <w:bottom w:val="none" w:sz="0" w:space="0" w:color="auto"/>
            <w:right w:val="none" w:sz="0" w:space="0" w:color="auto"/>
          </w:divBdr>
        </w:div>
        <w:div w:id="979959898">
          <w:marLeft w:val="0"/>
          <w:marRight w:val="0"/>
          <w:marTop w:val="0"/>
          <w:marBottom w:val="0"/>
          <w:divBdr>
            <w:top w:val="none" w:sz="0" w:space="0" w:color="auto"/>
            <w:left w:val="none" w:sz="0" w:space="0" w:color="auto"/>
            <w:bottom w:val="none" w:sz="0" w:space="0" w:color="auto"/>
            <w:right w:val="none" w:sz="0" w:space="0" w:color="auto"/>
          </w:divBdr>
        </w:div>
        <w:div w:id="1061714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389790">
          <w:marLeft w:val="0"/>
          <w:marRight w:val="0"/>
          <w:marTop w:val="0"/>
          <w:marBottom w:val="0"/>
          <w:divBdr>
            <w:top w:val="none" w:sz="0" w:space="0" w:color="auto"/>
            <w:left w:val="none" w:sz="0" w:space="0" w:color="auto"/>
            <w:bottom w:val="none" w:sz="0" w:space="0" w:color="auto"/>
            <w:right w:val="none" w:sz="0" w:space="0" w:color="auto"/>
          </w:divBdr>
        </w:div>
        <w:div w:id="1095244702">
          <w:marLeft w:val="0"/>
          <w:marRight w:val="0"/>
          <w:marTop w:val="0"/>
          <w:marBottom w:val="0"/>
          <w:divBdr>
            <w:top w:val="none" w:sz="0" w:space="0" w:color="auto"/>
            <w:left w:val="none" w:sz="0" w:space="0" w:color="auto"/>
            <w:bottom w:val="none" w:sz="0" w:space="0" w:color="auto"/>
            <w:right w:val="none" w:sz="0" w:space="0" w:color="auto"/>
          </w:divBdr>
        </w:div>
        <w:div w:id="1107576744">
          <w:marLeft w:val="180"/>
          <w:marRight w:val="0"/>
          <w:marTop w:val="0"/>
          <w:marBottom w:val="0"/>
          <w:divBdr>
            <w:top w:val="none" w:sz="0" w:space="0" w:color="auto"/>
            <w:left w:val="none" w:sz="0" w:space="0" w:color="auto"/>
            <w:bottom w:val="none" w:sz="0" w:space="0" w:color="auto"/>
            <w:right w:val="none" w:sz="0" w:space="0" w:color="auto"/>
          </w:divBdr>
        </w:div>
        <w:div w:id="1160000748">
          <w:marLeft w:val="0"/>
          <w:marRight w:val="0"/>
          <w:marTop w:val="0"/>
          <w:marBottom w:val="0"/>
          <w:divBdr>
            <w:top w:val="none" w:sz="0" w:space="0" w:color="auto"/>
            <w:left w:val="none" w:sz="0" w:space="0" w:color="auto"/>
            <w:bottom w:val="none" w:sz="0" w:space="0" w:color="auto"/>
            <w:right w:val="none" w:sz="0" w:space="0" w:color="auto"/>
          </w:divBdr>
        </w:div>
        <w:div w:id="1200358392">
          <w:marLeft w:val="0"/>
          <w:marRight w:val="0"/>
          <w:marTop w:val="0"/>
          <w:marBottom w:val="0"/>
          <w:divBdr>
            <w:top w:val="none" w:sz="0" w:space="0" w:color="auto"/>
            <w:left w:val="none" w:sz="0" w:space="0" w:color="auto"/>
            <w:bottom w:val="none" w:sz="0" w:space="0" w:color="auto"/>
            <w:right w:val="none" w:sz="0" w:space="0" w:color="auto"/>
          </w:divBdr>
        </w:div>
        <w:div w:id="1205563467">
          <w:marLeft w:val="0"/>
          <w:marRight w:val="0"/>
          <w:marTop w:val="0"/>
          <w:marBottom w:val="0"/>
          <w:divBdr>
            <w:top w:val="none" w:sz="0" w:space="0" w:color="auto"/>
            <w:left w:val="none" w:sz="0" w:space="0" w:color="auto"/>
            <w:bottom w:val="none" w:sz="0" w:space="0" w:color="auto"/>
            <w:right w:val="none" w:sz="0" w:space="0" w:color="auto"/>
          </w:divBdr>
        </w:div>
        <w:div w:id="1254322178">
          <w:marLeft w:val="0"/>
          <w:marRight w:val="0"/>
          <w:marTop w:val="0"/>
          <w:marBottom w:val="0"/>
          <w:divBdr>
            <w:top w:val="none" w:sz="0" w:space="0" w:color="auto"/>
            <w:left w:val="none" w:sz="0" w:space="0" w:color="auto"/>
            <w:bottom w:val="none" w:sz="0" w:space="0" w:color="auto"/>
            <w:right w:val="none" w:sz="0" w:space="0" w:color="auto"/>
          </w:divBdr>
        </w:div>
        <w:div w:id="1258907579">
          <w:marLeft w:val="180"/>
          <w:marRight w:val="0"/>
          <w:marTop w:val="0"/>
          <w:marBottom w:val="0"/>
          <w:divBdr>
            <w:top w:val="none" w:sz="0" w:space="0" w:color="auto"/>
            <w:left w:val="none" w:sz="0" w:space="0" w:color="auto"/>
            <w:bottom w:val="none" w:sz="0" w:space="0" w:color="auto"/>
            <w:right w:val="none" w:sz="0" w:space="0" w:color="auto"/>
          </w:divBdr>
        </w:div>
        <w:div w:id="1323510271">
          <w:marLeft w:val="0"/>
          <w:marRight w:val="0"/>
          <w:marTop w:val="0"/>
          <w:marBottom w:val="0"/>
          <w:divBdr>
            <w:top w:val="none" w:sz="0" w:space="0" w:color="auto"/>
            <w:left w:val="none" w:sz="0" w:space="0" w:color="auto"/>
            <w:bottom w:val="none" w:sz="0" w:space="0" w:color="auto"/>
            <w:right w:val="none" w:sz="0" w:space="0" w:color="auto"/>
          </w:divBdr>
        </w:div>
        <w:div w:id="1324236137">
          <w:marLeft w:val="0"/>
          <w:marRight w:val="0"/>
          <w:marTop w:val="0"/>
          <w:marBottom w:val="0"/>
          <w:divBdr>
            <w:top w:val="none" w:sz="0" w:space="0" w:color="auto"/>
            <w:left w:val="none" w:sz="0" w:space="0" w:color="auto"/>
            <w:bottom w:val="none" w:sz="0" w:space="0" w:color="auto"/>
            <w:right w:val="none" w:sz="0" w:space="0" w:color="auto"/>
          </w:divBdr>
        </w:div>
        <w:div w:id="1341928525">
          <w:marLeft w:val="0"/>
          <w:marRight w:val="0"/>
          <w:marTop w:val="0"/>
          <w:marBottom w:val="0"/>
          <w:divBdr>
            <w:top w:val="none" w:sz="0" w:space="0" w:color="auto"/>
            <w:left w:val="none" w:sz="0" w:space="0" w:color="auto"/>
            <w:bottom w:val="none" w:sz="0" w:space="0" w:color="auto"/>
            <w:right w:val="none" w:sz="0" w:space="0" w:color="auto"/>
          </w:divBdr>
        </w:div>
        <w:div w:id="1357196568">
          <w:marLeft w:val="0"/>
          <w:marRight w:val="0"/>
          <w:marTop w:val="0"/>
          <w:marBottom w:val="0"/>
          <w:divBdr>
            <w:top w:val="none" w:sz="0" w:space="0" w:color="auto"/>
            <w:left w:val="none" w:sz="0" w:space="0" w:color="auto"/>
            <w:bottom w:val="none" w:sz="0" w:space="0" w:color="auto"/>
            <w:right w:val="none" w:sz="0" w:space="0" w:color="auto"/>
          </w:divBdr>
        </w:div>
        <w:div w:id="1392655291">
          <w:marLeft w:val="0"/>
          <w:marRight w:val="0"/>
          <w:marTop w:val="0"/>
          <w:marBottom w:val="0"/>
          <w:divBdr>
            <w:top w:val="none" w:sz="0" w:space="0" w:color="auto"/>
            <w:left w:val="none" w:sz="0" w:space="0" w:color="auto"/>
            <w:bottom w:val="none" w:sz="0" w:space="0" w:color="auto"/>
            <w:right w:val="none" w:sz="0" w:space="0" w:color="auto"/>
          </w:divBdr>
        </w:div>
        <w:div w:id="1415276881">
          <w:marLeft w:val="0"/>
          <w:marRight w:val="0"/>
          <w:marTop w:val="0"/>
          <w:marBottom w:val="0"/>
          <w:divBdr>
            <w:top w:val="none" w:sz="0" w:space="0" w:color="auto"/>
            <w:left w:val="none" w:sz="0" w:space="0" w:color="auto"/>
            <w:bottom w:val="none" w:sz="0" w:space="0" w:color="auto"/>
            <w:right w:val="none" w:sz="0" w:space="0" w:color="auto"/>
          </w:divBdr>
        </w:div>
        <w:div w:id="1433084810">
          <w:marLeft w:val="0"/>
          <w:marRight w:val="0"/>
          <w:marTop w:val="0"/>
          <w:marBottom w:val="0"/>
          <w:divBdr>
            <w:top w:val="none" w:sz="0" w:space="0" w:color="auto"/>
            <w:left w:val="none" w:sz="0" w:space="0" w:color="auto"/>
            <w:bottom w:val="none" w:sz="0" w:space="0" w:color="auto"/>
            <w:right w:val="none" w:sz="0" w:space="0" w:color="auto"/>
          </w:divBdr>
        </w:div>
        <w:div w:id="1580142155">
          <w:marLeft w:val="0"/>
          <w:marRight w:val="0"/>
          <w:marTop w:val="0"/>
          <w:marBottom w:val="0"/>
          <w:divBdr>
            <w:top w:val="none" w:sz="0" w:space="0" w:color="auto"/>
            <w:left w:val="none" w:sz="0" w:space="0" w:color="auto"/>
            <w:bottom w:val="none" w:sz="0" w:space="0" w:color="auto"/>
            <w:right w:val="none" w:sz="0" w:space="0" w:color="auto"/>
          </w:divBdr>
        </w:div>
        <w:div w:id="1584149121">
          <w:marLeft w:val="0"/>
          <w:marRight w:val="0"/>
          <w:marTop w:val="0"/>
          <w:marBottom w:val="0"/>
          <w:divBdr>
            <w:top w:val="none" w:sz="0" w:space="0" w:color="auto"/>
            <w:left w:val="none" w:sz="0" w:space="0" w:color="auto"/>
            <w:bottom w:val="none" w:sz="0" w:space="0" w:color="auto"/>
            <w:right w:val="none" w:sz="0" w:space="0" w:color="auto"/>
          </w:divBdr>
        </w:div>
        <w:div w:id="1616324781">
          <w:marLeft w:val="0"/>
          <w:marRight w:val="0"/>
          <w:marTop w:val="0"/>
          <w:marBottom w:val="0"/>
          <w:divBdr>
            <w:top w:val="none" w:sz="0" w:space="0" w:color="auto"/>
            <w:left w:val="none" w:sz="0" w:space="0" w:color="auto"/>
            <w:bottom w:val="none" w:sz="0" w:space="0" w:color="auto"/>
            <w:right w:val="none" w:sz="0" w:space="0" w:color="auto"/>
          </w:divBdr>
        </w:div>
        <w:div w:id="1686323658">
          <w:marLeft w:val="180"/>
          <w:marRight w:val="0"/>
          <w:marTop w:val="0"/>
          <w:marBottom w:val="0"/>
          <w:divBdr>
            <w:top w:val="none" w:sz="0" w:space="0" w:color="auto"/>
            <w:left w:val="none" w:sz="0" w:space="0" w:color="auto"/>
            <w:bottom w:val="none" w:sz="0" w:space="0" w:color="auto"/>
            <w:right w:val="none" w:sz="0" w:space="0" w:color="auto"/>
          </w:divBdr>
        </w:div>
        <w:div w:id="1686976571">
          <w:marLeft w:val="0"/>
          <w:marRight w:val="0"/>
          <w:marTop w:val="0"/>
          <w:marBottom w:val="0"/>
          <w:divBdr>
            <w:top w:val="none" w:sz="0" w:space="0" w:color="auto"/>
            <w:left w:val="none" w:sz="0" w:space="0" w:color="auto"/>
            <w:bottom w:val="none" w:sz="0" w:space="0" w:color="auto"/>
            <w:right w:val="none" w:sz="0" w:space="0" w:color="auto"/>
          </w:divBdr>
        </w:div>
        <w:div w:id="1710954652">
          <w:marLeft w:val="0"/>
          <w:marRight w:val="0"/>
          <w:marTop w:val="0"/>
          <w:marBottom w:val="0"/>
          <w:divBdr>
            <w:top w:val="none" w:sz="0" w:space="0" w:color="auto"/>
            <w:left w:val="none" w:sz="0" w:space="0" w:color="auto"/>
            <w:bottom w:val="none" w:sz="0" w:space="0" w:color="auto"/>
            <w:right w:val="none" w:sz="0" w:space="0" w:color="auto"/>
          </w:divBdr>
        </w:div>
        <w:div w:id="1885824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628249">
          <w:marLeft w:val="0"/>
          <w:marRight w:val="0"/>
          <w:marTop w:val="0"/>
          <w:marBottom w:val="0"/>
          <w:divBdr>
            <w:top w:val="none" w:sz="0" w:space="0" w:color="auto"/>
            <w:left w:val="none" w:sz="0" w:space="0" w:color="auto"/>
            <w:bottom w:val="none" w:sz="0" w:space="0" w:color="auto"/>
            <w:right w:val="none" w:sz="0" w:space="0" w:color="auto"/>
          </w:divBdr>
        </w:div>
        <w:div w:id="1925647630">
          <w:marLeft w:val="0"/>
          <w:marRight w:val="0"/>
          <w:marTop w:val="0"/>
          <w:marBottom w:val="0"/>
          <w:divBdr>
            <w:top w:val="none" w:sz="0" w:space="0" w:color="auto"/>
            <w:left w:val="none" w:sz="0" w:space="0" w:color="auto"/>
            <w:bottom w:val="none" w:sz="0" w:space="0" w:color="auto"/>
            <w:right w:val="none" w:sz="0" w:space="0" w:color="auto"/>
          </w:divBdr>
        </w:div>
        <w:div w:id="1946184837">
          <w:marLeft w:val="0"/>
          <w:marRight w:val="0"/>
          <w:marTop w:val="0"/>
          <w:marBottom w:val="0"/>
          <w:divBdr>
            <w:top w:val="none" w:sz="0" w:space="0" w:color="auto"/>
            <w:left w:val="none" w:sz="0" w:space="0" w:color="auto"/>
            <w:bottom w:val="none" w:sz="0" w:space="0" w:color="auto"/>
            <w:right w:val="none" w:sz="0" w:space="0" w:color="auto"/>
          </w:divBdr>
        </w:div>
        <w:div w:id="1946620492">
          <w:marLeft w:val="0"/>
          <w:marRight w:val="0"/>
          <w:marTop w:val="0"/>
          <w:marBottom w:val="0"/>
          <w:divBdr>
            <w:top w:val="none" w:sz="0" w:space="0" w:color="auto"/>
            <w:left w:val="none" w:sz="0" w:space="0" w:color="auto"/>
            <w:bottom w:val="none" w:sz="0" w:space="0" w:color="auto"/>
            <w:right w:val="none" w:sz="0" w:space="0" w:color="auto"/>
          </w:divBdr>
        </w:div>
        <w:div w:id="1977295515">
          <w:marLeft w:val="0"/>
          <w:marRight w:val="0"/>
          <w:marTop w:val="0"/>
          <w:marBottom w:val="0"/>
          <w:divBdr>
            <w:top w:val="none" w:sz="0" w:space="0" w:color="auto"/>
            <w:left w:val="none" w:sz="0" w:space="0" w:color="auto"/>
            <w:bottom w:val="none" w:sz="0" w:space="0" w:color="auto"/>
            <w:right w:val="none" w:sz="0" w:space="0" w:color="auto"/>
          </w:divBdr>
        </w:div>
        <w:div w:id="1985310139">
          <w:marLeft w:val="0"/>
          <w:marRight w:val="0"/>
          <w:marTop w:val="0"/>
          <w:marBottom w:val="0"/>
          <w:divBdr>
            <w:top w:val="none" w:sz="0" w:space="0" w:color="auto"/>
            <w:left w:val="none" w:sz="0" w:space="0" w:color="auto"/>
            <w:bottom w:val="none" w:sz="0" w:space="0" w:color="auto"/>
            <w:right w:val="none" w:sz="0" w:space="0" w:color="auto"/>
          </w:divBdr>
        </w:div>
        <w:div w:id="2045789684">
          <w:marLeft w:val="0"/>
          <w:marRight w:val="0"/>
          <w:marTop w:val="0"/>
          <w:marBottom w:val="0"/>
          <w:divBdr>
            <w:top w:val="none" w:sz="0" w:space="0" w:color="auto"/>
            <w:left w:val="none" w:sz="0" w:space="0" w:color="auto"/>
            <w:bottom w:val="none" w:sz="0" w:space="0" w:color="auto"/>
            <w:right w:val="none" w:sz="0" w:space="0" w:color="auto"/>
          </w:divBdr>
        </w:div>
        <w:div w:id="2055352378">
          <w:marLeft w:val="0"/>
          <w:marRight w:val="0"/>
          <w:marTop w:val="0"/>
          <w:marBottom w:val="0"/>
          <w:divBdr>
            <w:top w:val="none" w:sz="0" w:space="0" w:color="auto"/>
            <w:left w:val="none" w:sz="0" w:space="0" w:color="auto"/>
            <w:bottom w:val="none" w:sz="0" w:space="0" w:color="auto"/>
            <w:right w:val="none" w:sz="0" w:space="0" w:color="auto"/>
          </w:divBdr>
        </w:div>
        <w:div w:id="2108454116">
          <w:marLeft w:val="0"/>
          <w:marRight w:val="0"/>
          <w:marTop w:val="0"/>
          <w:marBottom w:val="0"/>
          <w:divBdr>
            <w:top w:val="none" w:sz="0" w:space="0" w:color="auto"/>
            <w:left w:val="none" w:sz="0" w:space="0" w:color="auto"/>
            <w:bottom w:val="none" w:sz="0" w:space="0" w:color="auto"/>
            <w:right w:val="none" w:sz="0" w:space="0" w:color="auto"/>
          </w:divBdr>
        </w:div>
        <w:div w:id="2127002419">
          <w:marLeft w:val="0"/>
          <w:marRight w:val="0"/>
          <w:marTop w:val="0"/>
          <w:marBottom w:val="0"/>
          <w:divBdr>
            <w:top w:val="none" w:sz="0" w:space="0" w:color="auto"/>
            <w:left w:val="none" w:sz="0" w:space="0" w:color="auto"/>
            <w:bottom w:val="none" w:sz="0" w:space="0" w:color="auto"/>
            <w:right w:val="none" w:sz="0" w:space="0" w:color="auto"/>
          </w:divBdr>
        </w:div>
        <w:div w:id="2127700598">
          <w:marLeft w:val="0"/>
          <w:marRight w:val="0"/>
          <w:marTop w:val="0"/>
          <w:marBottom w:val="0"/>
          <w:divBdr>
            <w:top w:val="none" w:sz="0" w:space="0" w:color="auto"/>
            <w:left w:val="none" w:sz="0" w:space="0" w:color="auto"/>
            <w:bottom w:val="none" w:sz="0" w:space="0" w:color="auto"/>
            <w:right w:val="none" w:sz="0" w:space="0" w:color="auto"/>
          </w:divBdr>
        </w:div>
        <w:div w:id="2130850057">
          <w:marLeft w:val="0"/>
          <w:marRight w:val="0"/>
          <w:marTop w:val="0"/>
          <w:marBottom w:val="0"/>
          <w:divBdr>
            <w:top w:val="none" w:sz="0" w:space="0" w:color="auto"/>
            <w:left w:val="none" w:sz="0" w:space="0" w:color="auto"/>
            <w:bottom w:val="none" w:sz="0" w:space="0" w:color="auto"/>
            <w:right w:val="none" w:sz="0" w:space="0" w:color="auto"/>
          </w:divBdr>
        </w:div>
        <w:div w:id="2140486513">
          <w:marLeft w:val="0"/>
          <w:marRight w:val="0"/>
          <w:marTop w:val="0"/>
          <w:marBottom w:val="0"/>
          <w:divBdr>
            <w:top w:val="none" w:sz="0" w:space="0" w:color="auto"/>
            <w:left w:val="none" w:sz="0" w:space="0" w:color="auto"/>
            <w:bottom w:val="none" w:sz="0" w:space="0" w:color="auto"/>
            <w:right w:val="none" w:sz="0" w:space="0" w:color="auto"/>
          </w:divBdr>
        </w:div>
      </w:divsChild>
    </w:div>
    <w:div w:id="1338774638">
      <w:bodyDiv w:val="1"/>
      <w:marLeft w:val="0"/>
      <w:marRight w:val="0"/>
      <w:marTop w:val="0"/>
      <w:marBottom w:val="0"/>
      <w:divBdr>
        <w:top w:val="none" w:sz="0" w:space="0" w:color="auto"/>
        <w:left w:val="none" w:sz="0" w:space="0" w:color="auto"/>
        <w:bottom w:val="none" w:sz="0" w:space="0" w:color="auto"/>
        <w:right w:val="none" w:sz="0" w:space="0" w:color="auto"/>
      </w:divBdr>
      <w:divsChild>
        <w:div w:id="1614748799">
          <w:marLeft w:val="0"/>
          <w:marRight w:val="0"/>
          <w:marTop w:val="0"/>
          <w:marBottom w:val="0"/>
          <w:divBdr>
            <w:top w:val="none" w:sz="0" w:space="0" w:color="auto"/>
            <w:left w:val="none" w:sz="0" w:space="0" w:color="auto"/>
            <w:bottom w:val="none" w:sz="0" w:space="0" w:color="auto"/>
            <w:right w:val="none" w:sz="0" w:space="0" w:color="auto"/>
          </w:divBdr>
          <w:divsChild>
            <w:div w:id="1437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6539">
      <w:bodyDiv w:val="1"/>
      <w:marLeft w:val="0"/>
      <w:marRight w:val="0"/>
      <w:marTop w:val="0"/>
      <w:marBottom w:val="0"/>
      <w:divBdr>
        <w:top w:val="none" w:sz="0" w:space="0" w:color="auto"/>
        <w:left w:val="none" w:sz="0" w:space="0" w:color="auto"/>
        <w:bottom w:val="none" w:sz="0" w:space="0" w:color="auto"/>
        <w:right w:val="none" w:sz="0" w:space="0" w:color="auto"/>
      </w:divBdr>
    </w:div>
    <w:div w:id="1378160303">
      <w:bodyDiv w:val="1"/>
      <w:marLeft w:val="0"/>
      <w:marRight w:val="0"/>
      <w:marTop w:val="0"/>
      <w:marBottom w:val="0"/>
      <w:divBdr>
        <w:top w:val="none" w:sz="0" w:space="0" w:color="auto"/>
        <w:left w:val="none" w:sz="0" w:space="0" w:color="auto"/>
        <w:bottom w:val="none" w:sz="0" w:space="0" w:color="auto"/>
        <w:right w:val="none" w:sz="0" w:space="0" w:color="auto"/>
      </w:divBdr>
      <w:divsChild>
        <w:div w:id="407002691">
          <w:marLeft w:val="0"/>
          <w:marRight w:val="0"/>
          <w:marTop w:val="0"/>
          <w:marBottom w:val="0"/>
          <w:divBdr>
            <w:top w:val="none" w:sz="0" w:space="0" w:color="auto"/>
            <w:left w:val="none" w:sz="0" w:space="0" w:color="auto"/>
            <w:bottom w:val="none" w:sz="0" w:space="0" w:color="auto"/>
            <w:right w:val="none" w:sz="0" w:space="0" w:color="auto"/>
          </w:divBdr>
          <w:divsChild>
            <w:div w:id="13196031">
              <w:marLeft w:val="0"/>
              <w:marRight w:val="0"/>
              <w:marTop w:val="0"/>
              <w:marBottom w:val="0"/>
              <w:divBdr>
                <w:top w:val="none" w:sz="0" w:space="0" w:color="auto"/>
                <w:left w:val="none" w:sz="0" w:space="0" w:color="auto"/>
                <w:bottom w:val="none" w:sz="0" w:space="0" w:color="auto"/>
                <w:right w:val="none" w:sz="0" w:space="0" w:color="auto"/>
              </w:divBdr>
              <w:divsChild>
                <w:div w:id="8023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66673">
      <w:bodyDiv w:val="1"/>
      <w:marLeft w:val="0"/>
      <w:marRight w:val="0"/>
      <w:marTop w:val="0"/>
      <w:marBottom w:val="0"/>
      <w:divBdr>
        <w:top w:val="none" w:sz="0" w:space="0" w:color="auto"/>
        <w:left w:val="none" w:sz="0" w:space="0" w:color="auto"/>
        <w:bottom w:val="none" w:sz="0" w:space="0" w:color="auto"/>
        <w:right w:val="none" w:sz="0" w:space="0" w:color="auto"/>
      </w:divBdr>
      <w:divsChild>
        <w:div w:id="852958042">
          <w:marLeft w:val="0"/>
          <w:marRight w:val="0"/>
          <w:marTop w:val="0"/>
          <w:marBottom w:val="0"/>
          <w:divBdr>
            <w:top w:val="none" w:sz="0" w:space="0" w:color="auto"/>
            <w:left w:val="none" w:sz="0" w:space="0" w:color="auto"/>
            <w:bottom w:val="none" w:sz="0" w:space="0" w:color="auto"/>
            <w:right w:val="none" w:sz="0" w:space="0" w:color="auto"/>
          </w:divBdr>
          <w:divsChild>
            <w:div w:id="133110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3585">
      <w:bodyDiv w:val="1"/>
      <w:marLeft w:val="0"/>
      <w:marRight w:val="0"/>
      <w:marTop w:val="0"/>
      <w:marBottom w:val="0"/>
      <w:divBdr>
        <w:top w:val="none" w:sz="0" w:space="0" w:color="auto"/>
        <w:left w:val="none" w:sz="0" w:space="0" w:color="auto"/>
        <w:bottom w:val="none" w:sz="0" w:space="0" w:color="auto"/>
        <w:right w:val="none" w:sz="0" w:space="0" w:color="auto"/>
      </w:divBdr>
      <w:divsChild>
        <w:div w:id="1357924183">
          <w:marLeft w:val="0"/>
          <w:marRight w:val="0"/>
          <w:marTop w:val="0"/>
          <w:marBottom w:val="0"/>
          <w:divBdr>
            <w:top w:val="none" w:sz="0" w:space="0" w:color="auto"/>
            <w:left w:val="none" w:sz="0" w:space="0" w:color="auto"/>
            <w:bottom w:val="none" w:sz="0" w:space="0" w:color="auto"/>
            <w:right w:val="none" w:sz="0" w:space="0" w:color="auto"/>
          </w:divBdr>
          <w:divsChild>
            <w:div w:id="6762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98609">
      <w:bodyDiv w:val="1"/>
      <w:marLeft w:val="0"/>
      <w:marRight w:val="0"/>
      <w:marTop w:val="0"/>
      <w:marBottom w:val="0"/>
      <w:divBdr>
        <w:top w:val="none" w:sz="0" w:space="0" w:color="auto"/>
        <w:left w:val="none" w:sz="0" w:space="0" w:color="auto"/>
        <w:bottom w:val="none" w:sz="0" w:space="0" w:color="auto"/>
        <w:right w:val="none" w:sz="0" w:space="0" w:color="auto"/>
      </w:divBdr>
      <w:divsChild>
        <w:div w:id="1670014352">
          <w:marLeft w:val="0"/>
          <w:marRight w:val="0"/>
          <w:marTop w:val="0"/>
          <w:marBottom w:val="0"/>
          <w:divBdr>
            <w:top w:val="none" w:sz="0" w:space="0" w:color="auto"/>
            <w:left w:val="none" w:sz="0" w:space="0" w:color="auto"/>
            <w:bottom w:val="none" w:sz="0" w:space="0" w:color="auto"/>
            <w:right w:val="none" w:sz="0" w:space="0" w:color="auto"/>
          </w:divBdr>
          <w:divsChild>
            <w:div w:id="996111774">
              <w:marLeft w:val="0"/>
              <w:marRight w:val="0"/>
              <w:marTop w:val="0"/>
              <w:marBottom w:val="0"/>
              <w:divBdr>
                <w:top w:val="none" w:sz="0" w:space="0" w:color="auto"/>
                <w:left w:val="none" w:sz="0" w:space="0" w:color="auto"/>
                <w:bottom w:val="none" w:sz="0" w:space="0" w:color="auto"/>
                <w:right w:val="none" w:sz="0" w:space="0" w:color="auto"/>
              </w:divBdr>
              <w:divsChild>
                <w:div w:id="755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9116">
      <w:bodyDiv w:val="1"/>
      <w:marLeft w:val="0"/>
      <w:marRight w:val="0"/>
      <w:marTop w:val="0"/>
      <w:marBottom w:val="0"/>
      <w:divBdr>
        <w:top w:val="none" w:sz="0" w:space="0" w:color="auto"/>
        <w:left w:val="none" w:sz="0" w:space="0" w:color="auto"/>
        <w:bottom w:val="none" w:sz="0" w:space="0" w:color="auto"/>
        <w:right w:val="none" w:sz="0" w:space="0" w:color="auto"/>
      </w:divBdr>
      <w:divsChild>
        <w:div w:id="65614808">
          <w:marLeft w:val="0"/>
          <w:marRight w:val="0"/>
          <w:marTop w:val="0"/>
          <w:marBottom w:val="0"/>
          <w:divBdr>
            <w:top w:val="none" w:sz="0" w:space="0" w:color="auto"/>
            <w:left w:val="none" w:sz="0" w:space="0" w:color="auto"/>
            <w:bottom w:val="none" w:sz="0" w:space="0" w:color="auto"/>
            <w:right w:val="none" w:sz="0" w:space="0" w:color="auto"/>
          </w:divBdr>
        </w:div>
        <w:div w:id="76171600">
          <w:marLeft w:val="0"/>
          <w:marRight w:val="0"/>
          <w:marTop w:val="0"/>
          <w:marBottom w:val="0"/>
          <w:divBdr>
            <w:top w:val="none" w:sz="0" w:space="0" w:color="auto"/>
            <w:left w:val="none" w:sz="0" w:space="0" w:color="auto"/>
            <w:bottom w:val="none" w:sz="0" w:space="0" w:color="auto"/>
            <w:right w:val="none" w:sz="0" w:space="0" w:color="auto"/>
          </w:divBdr>
        </w:div>
        <w:div w:id="88812283">
          <w:marLeft w:val="0"/>
          <w:marRight w:val="0"/>
          <w:marTop w:val="0"/>
          <w:marBottom w:val="0"/>
          <w:divBdr>
            <w:top w:val="none" w:sz="0" w:space="0" w:color="auto"/>
            <w:left w:val="none" w:sz="0" w:space="0" w:color="auto"/>
            <w:bottom w:val="none" w:sz="0" w:space="0" w:color="auto"/>
            <w:right w:val="none" w:sz="0" w:space="0" w:color="auto"/>
          </w:divBdr>
        </w:div>
        <w:div w:id="97794134">
          <w:marLeft w:val="0"/>
          <w:marRight w:val="0"/>
          <w:marTop w:val="0"/>
          <w:marBottom w:val="0"/>
          <w:divBdr>
            <w:top w:val="none" w:sz="0" w:space="0" w:color="auto"/>
            <w:left w:val="none" w:sz="0" w:space="0" w:color="auto"/>
            <w:bottom w:val="none" w:sz="0" w:space="0" w:color="auto"/>
            <w:right w:val="none" w:sz="0" w:space="0" w:color="auto"/>
          </w:divBdr>
        </w:div>
        <w:div w:id="103690760">
          <w:marLeft w:val="0"/>
          <w:marRight w:val="0"/>
          <w:marTop w:val="0"/>
          <w:marBottom w:val="0"/>
          <w:divBdr>
            <w:top w:val="none" w:sz="0" w:space="0" w:color="auto"/>
            <w:left w:val="none" w:sz="0" w:space="0" w:color="auto"/>
            <w:bottom w:val="none" w:sz="0" w:space="0" w:color="auto"/>
            <w:right w:val="none" w:sz="0" w:space="0" w:color="auto"/>
          </w:divBdr>
        </w:div>
        <w:div w:id="126438315">
          <w:marLeft w:val="0"/>
          <w:marRight w:val="0"/>
          <w:marTop w:val="0"/>
          <w:marBottom w:val="0"/>
          <w:divBdr>
            <w:top w:val="none" w:sz="0" w:space="0" w:color="auto"/>
            <w:left w:val="none" w:sz="0" w:space="0" w:color="auto"/>
            <w:bottom w:val="none" w:sz="0" w:space="0" w:color="auto"/>
            <w:right w:val="none" w:sz="0" w:space="0" w:color="auto"/>
          </w:divBdr>
        </w:div>
        <w:div w:id="166556738">
          <w:marLeft w:val="0"/>
          <w:marRight w:val="0"/>
          <w:marTop w:val="0"/>
          <w:marBottom w:val="0"/>
          <w:divBdr>
            <w:top w:val="none" w:sz="0" w:space="0" w:color="auto"/>
            <w:left w:val="none" w:sz="0" w:space="0" w:color="auto"/>
            <w:bottom w:val="none" w:sz="0" w:space="0" w:color="auto"/>
            <w:right w:val="none" w:sz="0" w:space="0" w:color="auto"/>
          </w:divBdr>
        </w:div>
        <w:div w:id="182668242">
          <w:marLeft w:val="0"/>
          <w:marRight w:val="0"/>
          <w:marTop w:val="0"/>
          <w:marBottom w:val="0"/>
          <w:divBdr>
            <w:top w:val="none" w:sz="0" w:space="0" w:color="auto"/>
            <w:left w:val="none" w:sz="0" w:space="0" w:color="auto"/>
            <w:bottom w:val="none" w:sz="0" w:space="0" w:color="auto"/>
            <w:right w:val="none" w:sz="0" w:space="0" w:color="auto"/>
          </w:divBdr>
        </w:div>
        <w:div w:id="204175693">
          <w:marLeft w:val="0"/>
          <w:marRight w:val="0"/>
          <w:marTop w:val="0"/>
          <w:marBottom w:val="0"/>
          <w:divBdr>
            <w:top w:val="none" w:sz="0" w:space="0" w:color="auto"/>
            <w:left w:val="none" w:sz="0" w:space="0" w:color="auto"/>
            <w:bottom w:val="none" w:sz="0" w:space="0" w:color="auto"/>
            <w:right w:val="none" w:sz="0" w:space="0" w:color="auto"/>
          </w:divBdr>
        </w:div>
        <w:div w:id="228199550">
          <w:marLeft w:val="0"/>
          <w:marRight w:val="0"/>
          <w:marTop w:val="0"/>
          <w:marBottom w:val="0"/>
          <w:divBdr>
            <w:top w:val="none" w:sz="0" w:space="0" w:color="auto"/>
            <w:left w:val="none" w:sz="0" w:space="0" w:color="auto"/>
            <w:bottom w:val="none" w:sz="0" w:space="0" w:color="auto"/>
            <w:right w:val="none" w:sz="0" w:space="0" w:color="auto"/>
          </w:divBdr>
        </w:div>
        <w:div w:id="260376689">
          <w:marLeft w:val="0"/>
          <w:marRight w:val="0"/>
          <w:marTop w:val="0"/>
          <w:marBottom w:val="0"/>
          <w:divBdr>
            <w:top w:val="none" w:sz="0" w:space="0" w:color="auto"/>
            <w:left w:val="none" w:sz="0" w:space="0" w:color="auto"/>
            <w:bottom w:val="none" w:sz="0" w:space="0" w:color="auto"/>
            <w:right w:val="none" w:sz="0" w:space="0" w:color="auto"/>
          </w:divBdr>
        </w:div>
        <w:div w:id="277839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06710750">
          <w:marLeft w:val="0"/>
          <w:marRight w:val="0"/>
          <w:marTop w:val="0"/>
          <w:marBottom w:val="0"/>
          <w:divBdr>
            <w:top w:val="none" w:sz="0" w:space="0" w:color="auto"/>
            <w:left w:val="none" w:sz="0" w:space="0" w:color="auto"/>
            <w:bottom w:val="none" w:sz="0" w:space="0" w:color="auto"/>
            <w:right w:val="none" w:sz="0" w:space="0" w:color="auto"/>
          </w:divBdr>
        </w:div>
        <w:div w:id="332537224">
          <w:marLeft w:val="0"/>
          <w:marRight w:val="0"/>
          <w:marTop w:val="0"/>
          <w:marBottom w:val="0"/>
          <w:divBdr>
            <w:top w:val="none" w:sz="0" w:space="0" w:color="auto"/>
            <w:left w:val="none" w:sz="0" w:space="0" w:color="auto"/>
            <w:bottom w:val="none" w:sz="0" w:space="0" w:color="auto"/>
            <w:right w:val="none" w:sz="0" w:space="0" w:color="auto"/>
          </w:divBdr>
        </w:div>
        <w:div w:id="357510426">
          <w:marLeft w:val="0"/>
          <w:marRight w:val="0"/>
          <w:marTop w:val="0"/>
          <w:marBottom w:val="0"/>
          <w:divBdr>
            <w:top w:val="none" w:sz="0" w:space="0" w:color="auto"/>
            <w:left w:val="none" w:sz="0" w:space="0" w:color="auto"/>
            <w:bottom w:val="none" w:sz="0" w:space="0" w:color="auto"/>
            <w:right w:val="none" w:sz="0" w:space="0" w:color="auto"/>
          </w:divBdr>
        </w:div>
        <w:div w:id="365526496">
          <w:marLeft w:val="0"/>
          <w:marRight w:val="0"/>
          <w:marTop w:val="0"/>
          <w:marBottom w:val="0"/>
          <w:divBdr>
            <w:top w:val="none" w:sz="0" w:space="0" w:color="auto"/>
            <w:left w:val="none" w:sz="0" w:space="0" w:color="auto"/>
            <w:bottom w:val="none" w:sz="0" w:space="0" w:color="auto"/>
            <w:right w:val="none" w:sz="0" w:space="0" w:color="auto"/>
          </w:divBdr>
        </w:div>
        <w:div w:id="388463245">
          <w:marLeft w:val="0"/>
          <w:marRight w:val="0"/>
          <w:marTop w:val="0"/>
          <w:marBottom w:val="0"/>
          <w:divBdr>
            <w:top w:val="none" w:sz="0" w:space="0" w:color="auto"/>
            <w:left w:val="none" w:sz="0" w:space="0" w:color="auto"/>
            <w:bottom w:val="none" w:sz="0" w:space="0" w:color="auto"/>
            <w:right w:val="none" w:sz="0" w:space="0" w:color="auto"/>
          </w:divBdr>
        </w:div>
        <w:div w:id="49114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50485608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220111">
          <w:marLeft w:val="0"/>
          <w:marRight w:val="0"/>
          <w:marTop w:val="0"/>
          <w:marBottom w:val="0"/>
          <w:divBdr>
            <w:top w:val="none" w:sz="0" w:space="0" w:color="auto"/>
            <w:left w:val="none" w:sz="0" w:space="0" w:color="auto"/>
            <w:bottom w:val="none" w:sz="0" w:space="0" w:color="auto"/>
            <w:right w:val="none" w:sz="0" w:space="0" w:color="auto"/>
          </w:divBdr>
        </w:div>
        <w:div w:id="603265276">
          <w:marLeft w:val="0"/>
          <w:marRight w:val="0"/>
          <w:marTop w:val="0"/>
          <w:marBottom w:val="0"/>
          <w:divBdr>
            <w:top w:val="none" w:sz="0" w:space="0" w:color="auto"/>
            <w:left w:val="none" w:sz="0" w:space="0" w:color="auto"/>
            <w:bottom w:val="none" w:sz="0" w:space="0" w:color="auto"/>
            <w:right w:val="none" w:sz="0" w:space="0" w:color="auto"/>
          </w:divBdr>
        </w:div>
        <w:div w:id="625431364">
          <w:marLeft w:val="0"/>
          <w:marRight w:val="0"/>
          <w:marTop w:val="0"/>
          <w:marBottom w:val="0"/>
          <w:divBdr>
            <w:top w:val="none" w:sz="0" w:space="0" w:color="auto"/>
            <w:left w:val="none" w:sz="0" w:space="0" w:color="auto"/>
            <w:bottom w:val="none" w:sz="0" w:space="0" w:color="auto"/>
            <w:right w:val="none" w:sz="0" w:space="0" w:color="auto"/>
          </w:divBdr>
        </w:div>
        <w:div w:id="634606286">
          <w:marLeft w:val="0"/>
          <w:marRight w:val="0"/>
          <w:marTop w:val="0"/>
          <w:marBottom w:val="0"/>
          <w:divBdr>
            <w:top w:val="none" w:sz="0" w:space="0" w:color="auto"/>
            <w:left w:val="none" w:sz="0" w:space="0" w:color="auto"/>
            <w:bottom w:val="none" w:sz="0" w:space="0" w:color="auto"/>
            <w:right w:val="none" w:sz="0" w:space="0" w:color="auto"/>
          </w:divBdr>
        </w:div>
        <w:div w:id="655182753">
          <w:marLeft w:val="0"/>
          <w:marRight w:val="0"/>
          <w:marTop w:val="0"/>
          <w:marBottom w:val="0"/>
          <w:divBdr>
            <w:top w:val="none" w:sz="0" w:space="0" w:color="auto"/>
            <w:left w:val="none" w:sz="0" w:space="0" w:color="auto"/>
            <w:bottom w:val="none" w:sz="0" w:space="0" w:color="auto"/>
            <w:right w:val="none" w:sz="0" w:space="0" w:color="auto"/>
          </w:divBdr>
        </w:div>
        <w:div w:id="746193933">
          <w:marLeft w:val="0"/>
          <w:marRight w:val="0"/>
          <w:marTop w:val="0"/>
          <w:marBottom w:val="0"/>
          <w:divBdr>
            <w:top w:val="none" w:sz="0" w:space="0" w:color="auto"/>
            <w:left w:val="none" w:sz="0" w:space="0" w:color="auto"/>
            <w:bottom w:val="none" w:sz="0" w:space="0" w:color="auto"/>
            <w:right w:val="none" w:sz="0" w:space="0" w:color="auto"/>
          </w:divBdr>
        </w:div>
        <w:div w:id="753630722">
          <w:marLeft w:val="0"/>
          <w:marRight w:val="0"/>
          <w:marTop w:val="0"/>
          <w:marBottom w:val="0"/>
          <w:divBdr>
            <w:top w:val="none" w:sz="0" w:space="0" w:color="auto"/>
            <w:left w:val="none" w:sz="0" w:space="0" w:color="auto"/>
            <w:bottom w:val="none" w:sz="0" w:space="0" w:color="auto"/>
            <w:right w:val="none" w:sz="0" w:space="0" w:color="auto"/>
          </w:divBdr>
        </w:div>
        <w:div w:id="780104032">
          <w:marLeft w:val="0"/>
          <w:marRight w:val="0"/>
          <w:marTop w:val="0"/>
          <w:marBottom w:val="0"/>
          <w:divBdr>
            <w:top w:val="none" w:sz="0" w:space="0" w:color="auto"/>
            <w:left w:val="none" w:sz="0" w:space="0" w:color="auto"/>
            <w:bottom w:val="none" w:sz="0" w:space="0" w:color="auto"/>
            <w:right w:val="none" w:sz="0" w:space="0" w:color="auto"/>
          </w:divBdr>
        </w:div>
        <w:div w:id="845099257">
          <w:marLeft w:val="0"/>
          <w:marRight w:val="0"/>
          <w:marTop w:val="0"/>
          <w:marBottom w:val="0"/>
          <w:divBdr>
            <w:top w:val="none" w:sz="0" w:space="0" w:color="auto"/>
            <w:left w:val="none" w:sz="0" w:space="0" w:color="auto"/>
            <w:bottom w:val="none" w:sz="0" w:space="0" w:color="auto"/>
            <w:right w:val="none" w:sz="0" w:space="0" w:color="auto"/>
          </w:divBdr>
        </w:div>
        <w:div w:id="854611758">
          <w:marLeft w:val="0"/>
          <w:marRight w:val="0"/>
          <w:marTop w:val="0"/>
          <w:marBottom w:val="0"/>
          <w:divBdr>
            <w:top w:val="none" w:sz="0" w:space="0" w:color="auto"/>
            <w:left w:val="none" w:sz="0" w:space="0" w:color="auto"/>
            <w:bottom w:val="none" w:sz="0" w:space="0" w:color="auto"/>
            <w:right w:val="none" w:sz="0" w:space="0" w:color="auto"/>
          </w:divBdr>
        </w:div>
        <w:div w:id="861281919">
          <w:marLeft w:val="0"/>
          <w:marRight w:val="0"/>
          <w:marTop w:val="0"/>
          <w:marBottom w:val="0"/>
          <w:divBdr>
            <w:top w:val="none" w:sz="0" w:space="0" w:color="auto"/>
            <w:left w:val="none" w:sz="0" w:space="0" w:color="auto"/>
            <w:bottom w:val="none" w:sz="0" w:space="0" w:color="auto"/>
            <w:right w:val="none" w:sz="0" w:space="0" w:color="auto"/>
          </w:divBdr>
        </w:div>
        <w:div w:id="890775078">
          <w:blockQuote w:val="1"/>
          <w:marLeft w:val="720"/>
          <w:marRight w:val="720"/>
          <w:marTop w:val="100"/>
          <w:marBottom w:val="100"/>
          <w:divBdr>
            <w:top w:val="none" w:sz="0" w:space="0" w:color="auto"/>
            <w:left w:val="none" w:sz="0" w:space="0" w:color="auto"/>
            <w:bottom w:val="none" w:sz="0" w:space="0" w:color="auto"/>
            <w:right w:val="none" w:sz="0" w:space="0" w:color="auto"/>
          </w:divBdr>
        </w:div>
        <w:div w:id="892931746">
          <w:marLeft w:val="0"/>
          <w:marRight w:val="0"/>
          <w:marTop w:val="0"/>
          <w:marBottom w:val="0"/>
          <w:divBdr>
            <w:top w:val="none" w:sz="0" w:space="0" w:color="auto"/>
            <w:left w:val="none" w:sz="0" w:space="0" w:color="auto"/>
            <w:bottom w:val="none" w:sz="0" w:space="0" w:color="auto"/>
            <w:right w:val="none" w:sz="0" w:space="0" w:color="auto"/>
          </w:divBdr>
        </w:div>
        <w:div w:id="924143131">
          <w:marLeft w:val="0"/>
          <w:marRight w:val="0"/>
          <w:marTop w:val="0"/>
          <w:marBottom w:val="0"/>
          <w:divBdr>
            <w:top w:val="none" w:sz="0" w:space="0" w:color="auto"/>
            <w:left w:val="none" w:sz="0" w:space="0" w:color="auto"/>
            <w:bottom w:val="none" w:sz="0" w:space="0" w:color="auto"/>
            <w:right w:val="none" w:sz="0" w:space="0" w:color="auto"/>
          </w:divBdr>
        </w:div>
        <w:div w:id="942033455">
          <w:marLeft w:val="0"/>
          <w:marRight w:val="0"/>
          <w:marTop w:val="0"/>
          <w:marBottom w:val="0"/>
          <w:divBdr>
            <w:top w:val="none" w:sz="0" w:space="0" w:color="auto"/>
            <w:left w:val="none" w:sz="0" w:space="0" w:color="auto"/>
            <w:bottom w:val="none" w:sz="0" w:space="0" w:color="auto"/>
            <w:right w:val="none" w:sz="0" w:space="0" w:color="auto"/>
          </w:divBdr>
        </w:div>
        <w:div w:id="955914327">
          <w:marLeft w:val="0"/>
          <w:marRight w:val="0"/>
          <w:marTop w:val="0"/>
          <w:marBottom w:val="0"/>
          <w:divBdr>
            <w:top w:val="none" w:sz="0" w:space="0" w:color="auto"/>
            <w:left w:val="none" w:sz="0" w:space="0" w:color="auto"/>
            <w:bottom w:val="none" w:sz="0" w:space="0" w:color="auto"/>
            <w:right w:val="none" w:sz="0" w:space="0" w:color="auto"/>
          </w:divBdr>
        </w:div>
        <w:div w:id="986671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992697">
          <w:marLeft w:val="0"/>
          <w:marRight w:val="0"/>
          <w:marTop w:val="0"/>
          <w:marBottom w:val="0"/>
          <w:divBdr>
            <w:top w:val="none" w:sz="0" w:space="0" w:color="auto"/>
            <w:left w:val="none" w:sz="0" w:space="0" w:color="auto"/>
            <w:bottom w:val="none" w:sz="0" w:space="0" w:color="auto"/>
            <w:right w:val="none" w:sz="0" w:space="0" w:color="auto"/>
          </w:divBdr>
        </w:div>
        <w:div w:id="1105731829">
          <w:marLeft w:val="0"/>
          <w:marRight w:val="0"/>
          <w:marTop w:val="0"/>
          <w:marBottom w:val="0"/>
          <w:divBdr>
            <w:top w:val="none" w:sz="0" w:space="0" w:color="auto"/>
            <w:left w:val="none" w:sz="0" w:space="0" w:color="auto"/>
            <w:bottom w:val="none" w:sz="0" w:space="0" w:color="auto"/>
            <w:right w:val="none" w:sz="0" w:space="0" w:color="auto"/>
          </w:divBdr>
        </w:div>
        <w:div w:id="1142456051">
          <w:marLeft w:val="0"/>
          <w:marRight w:val="0"/>
          <w:marTop w:val="0"/>
          <w:marBottom w:val="0"/>
          <w:divBdr>
            <w:top w:val="none" w:sz="0" w:space="0" w:color="auto"/>
            <w:left w:val="none" w:sz="0" w:space="0" w:color="auto"/>
            <w:bottom w:val="none" w:sz="0" w:space="0" w:color="auto"/>
            <w:right w:val="none" w:sz="0" w:space="0" w:color="auto"/>
          </w:divBdr>
        </w:div>
        <w:div w:id="1244560880">
          <w:marLeft w:val="0"/>
          <w:marRight w:val="0"/>
          <w:marTop w:val="0"/>
          <w:marBottom w:val="0"/>
          <w:divBdr>
            <w:top w:val="none" w:sz="0" w:space="0" w:color="auto"/>
            <w:left w:val="none" w:sz="0" w:space="0" w:color="auto"/>
            <w:bottom w:val="none" w:sz="0" w:space="0" w:color="auto"/>
            <w:right w:val="none" w:sz="0" w:space="0" w:color="auto"/>
          </w:divBdr>
        </w:div>
        <w:div w:id="1248660457">
          <w:marLeft w:val="180"/>
          <w:marRight w:val="0"/>
          <w:marTop w:val="0"/>
          <w:marBottom w:val="0"/>
          <w:divBdr>
            <w:top w:val="none" w:sz="0" w:space="0" w:color="auto"/>
            <w:left w:val="none" w:sz="0" w:space="0" w:color="auto"/>
            <w:bottom w:val="none" w:sz="0" w:space="0" w:color="auto"/>
            <w:right w:val="none" w:sz="0" w:space="0" w:color="auto"/>
          </w:divBdr>
        </w:div>
        <w:div w:id="1254775006">
          <w:marLeft w:val="180"/>
          <w:marRight w:val="0"/>
          <w:marTop w:val="0"/>
          <w:marBottom w:val="0"/>
          <w:divBdr>
            <w:top w:val="none" w:sz="0" w:space="0" w:color="auto"/>
            <w:left w:val="none" w:sz="0" w:space="0" w:color="auto"/>
            <w:bottom w:val="none" w:sz="0" w:space="0" w:color="auto"/>
            <w:right w:val="none" w:sz="0" w:space="0" w:color="auto"/>
          </w:divBdr>
        </w:div>
        <w:div w:id="1304387874">
          <w:marLeft w:val="0"/>
          <w:marRight w:val="0"/>
          <w:marTop w:val="0"/>
          <w:marBottom w:val="0"/>
          <w:divBdr>
            <w:top w:val="none" w:sz="0" w:space="0" w:color="auto"/>
            <w:left w:val="none" w:sz="0" w:space="0" w:color="auto"/>
            <w:bottom w:val="none" w:sz="0" w:space="0" w:color="auto"/>
            <w:right w:val="none" w:sz="0" w:space="0" w:color="auto"/>
          </w:divBdr>
        </w:div>
        <w:div w:id="1344280344">
          <w:marLeft w:val="0"/>
          <w:marRight w:val="0"/>
          <w:marTop w:val="0"/>
          <w:marBottom w:val="0"/>
          <w:divBdr>
            <w:top w:val="none" w:sz="0" w:space="0" w:color="auto"/>
            <w:left w:val="none" w:sz="0" w:space="0" w:color="auto"/>
            <w:bottom w:val="none" w:sz="0" w:space="0" w:color="auto"/>
            <w:right w:val="none" w:sz="0" w:space="0" w:color="auto"/>
          </w:divBdr>
        </w:div>
        <w:div w:id="1470703807">
          <w:marLeft w:val="0"/>
          <w:marRight w:val="0"/>
          <w:marTop w:val="0"/>
          <w:marBottom w:val="0"/>
          <w:divBdr>
            <w:top w:val="none" w:sz="0" w:space="0" w:color="auto"/>
            <w:left w:val="none" w:sz="0" w:space="0" w:color="auto"/>
            <w:bottom w:val="none" w:sz="0" w:space="0" w:color="auto"/>
            <w:right w:val="none" w:sz="0" w:space="0" w:color="auto"/>
          </w:divBdr>
        </w:div>
        <w:div w:id="1471361185">
          <w:marLeft w:val="0"/>
          <w:marRight w:val="0"/>
          <w:marTop w:val="0"/>
          <w:marBottom w:val="0"/>
          <w:divBdr>
            <w:top w:val="none" w:sz="0" w:space="0" w:color="auto"/>
            <w:left w:val="none" w:sz="0" w:space="0" w:color="auto"/>
            <w:bottom w:val="none" w:sz="0" w:space="0" w:color="auto"/>
            <w:right w:val="none" w:sz="0" w:space="0" w:color="auto"/>
          </w:divBdr>
        </w:div>
        <w:div w:id="1497107932">
          <w:marLeft w:val="0"/>
          <w:marRight w:val="0"/>
          <w:marTop w:val="0"/>
          <w:marBottom w:val="0"/>
          <w:divBdr>
            <w:top w:val="none" w:sz="0" w:space="0" w:color="auto"/>
            <w:left w:val="none" w:sz="0" w:space="0" w:color="auto"/>
            <w:bottom w:val="none" w:sz="0" w:space="0" w:color="auto"/>
            <w:right w:val="none" w:sz="0" w:space="0" w:color="auto"/>
          </w:divBdr>
        </w:div>
        <w:div w:id="1508059929">
          <w:marLeft w:val="0"/>
          <w:marRight w:val="0"/>
          <w:marTop w:val="0"/>
          <w:marBottom w:val="0"/>
          <w:divBdr>
            <w:top w:val="none" w:sz="0" w:space="0" w:color="auto"/>
            <w:left w:val="none" w:sz="0" w:space="0" w:color="auto"/>
            <w:bottom w:val="none" w:sz="0" w:space="0" w:color="auto"/>
            <w:right w:val="none" w:sz="0" w:space="0" w:color="auto"/>
          </w:divBdr>
        </w:div>
        <w:div w:id="1706444446">
          <w:marLeft w:val="180"/>
          <w:marRight w:val="0"/>
          <w:marTop w:val="0"/>
          <w:marBottom w:val="0"/>
          <w:divBdr>
            <w:top w:val="none" w:sz="0" w:space="0" w:color="auto"/>
            <w:left w:val="none" w:sz="0" w:space="0" w:color="auto"/>
            <w:bottom w:val="none" w:sz="0" w:space="0" w:color="auto"/>
            <w:right w:val="none" w:sz="0" w:space="0" w:color="auto"/>
          </w:divBdr>
        </w:div>
        <w:div w:id="1723092583">
          <w:marLeft w:val="0"/>
          <w:marRight w:val="0"/>
          <w:marTop w:val="0"/>
          <w:marBottom w:val="0"/>
          <w:divBdr>
            <w:top w:val="none" w:sz="0" w:space="0" w:color="auto"/>
            <w:left w:val="none" w:sz="0" w:space="0" w:color="auto"/>
            <w:bottom w:val="none" w:sz="0" w:space="0" w:color="auto"/>
            <w:right w:val="none" w:sz="0" w:space="0" w:color="auto"/>
          </w:divBdr>
        </w:div>
        <w:div w:id="1726491932">
          <w:marLeft w:val="0"/>
          <w:marRight w:val="0"/>
          <w:marTop w:val="0"/>
          <w:marBottom w:val="0"/>
          <w:divBdr>
            <w:top w:val="none" w:sz="0" w:space="0" w:color="auto"/>
            <w:left w:val="none" w:sz="0" w:space="0" w:color="auto"/>
            <w:bottom w:val="none" w:sz="0" w:space="0" w:color="auto"/>
            <w:right w:val="none" w:sz="0" w:space="0" w:color="auto"/>
          </w:divBdr>
        </w:div>
        <w:div w:id="1783263518">
          <w:marLeft w:val="0"/>
          <w:marRight w:val="0"/>
          <w:marTop w:val="0"/>
          <w:marBottom w:val="0"/>
          <w:divBdr>
            <w:top w:val="none" w:sz="0" w:space="0" w:color="auto"/>
            <w:left w:val="none" w:sz="0" w:space="0" w:color="auto"/>
            <w:bottom w:val="none" w:sz="0" w:space="0" w:color="auto"/>
            <w:right w:val="none" w:sz="0" w:space="0" w:color="auto"/>
          </w:divBdr>
        </w:div>
        <w:div w:id="1815366470">
          <w:marLeft w:val="0"/>
          <w:marRight w:val="0"/>
          <w:marTop w:val="0"/>
          <w:marBottom w:val="0"/>
          <w:divBdr>
            <w:top w:val="none" w:sz="0" w:space="0" w:color="auto"/>
            <w:left w:val="none" w:sz="0" w:space="0" w:color="auto"/>
            <w:bottom w:val="none" w:sz="0" w:space="0" w:color="auto"/>
            <w:right w:val="none" w:sz="0" w:space="0" w:color="auto"/>
          </w:divBdr>
        </w:div>
        <w:div w:id="1828325859">
          <w:marLeft w:val="0"/>
          <w:marRight w:val="0"/>
          <w:marTop w:val="0"/>
          <w:marBottom w:val="0"/>
          <w:divBdr>
            <w:top w:val="none" w:sz="0" w:space="0" w:color="auto"/>
            <w:left w:val="none" w:sz="0" w:space="0" w:color="auto"/>
            <w:bottom w:val="none" w:sz="0" w:space="0" w:color="auto"/>
            <w:right w:val="none" w:sz="0" w:space="0" w:color="auto"/>
          </w:divBdr>
        </w:div>
        <w:div w:id="1842043324">
          <w:marLeft w:val="0"/>
          <w:marRight w:val="0"/>
          <w:marTop w:val="0"/>
          <w:marBottom w:val="0"/>
          <w:divBdr>
            <w:top w:val="none" w:sz="0" w:space="0" w:color="auto"/>
            <w:left w:val="none" w:sz="0" w:space="0" w:color="auto"/>
            <w:bottom w:val="none" w:sz="0" w:space="0" w:color="auto"/>
            <w:right w:val="none" w:sz="0" w:space="0" w:color="auto"/>
          </w:divBdr>
        </w:div>
        <w:div w:id="1854148112">
          <w:marLeft w:val="0"/>
          <w:marRight w:val="0"/>
          <w:marTop w:val="0"/>
          <w:marBottom w:val="0"/>
          <w:divBdr>
            <w:top w:val="none" w:sz="0" w:space="0" w:color="auto"/>
            <w:left w:val="none" w:sz="0" w:space="0" w:color="auto"/>
            <w:bottom w:val="none" w:sz="0" w:space="0" w:color="auto"/>
            <w:right w:val="none" w:sz="0" w:space="0" w:color="auto"/>
          </w:divBdr>
        </w:div>
        <w:div w:id="1866095136">
          <w:marLeft w:val="0"/>
          <w:marRight w:val="0"/>
          <w:marTop w:val="0"/>
          <w:marBottom w:val="0"/>
          <w:divBdr>
            <w:top w:val="none" w:sz="0" w:space="0" w:color="auto"/>
            <w:left w:val="none" w:sz="0" w:space="0" w:color="auto"/>
            <w:bottom w:val="none" w:sz="0" w:space="0" w:color="auto"/>
            <w:right w:val="none" w:sz="0" w:space="0" w:color="auto"/>
          </w:divBdr>
        </w:div>
        <w:div w:id="1876431936">
          <w:marLeft w:val="0"/>
          <w:marRight w:val="0"/>
          <w:marTop w:val="0"/>
          <w:marBottom w:val="0"/>
          <w:divBdr>
            <w:top w:val="none" w:sz="0" w:space="0" w:color="auto"/>
            <w:left w:val="none" w:sz="0" w:space="0" w:color="auto"/>
            <w:bottom w:val="none" w:sz="0" w:space="0" w:color="auto"/>
            <w:right w:val="none" w:sz="0" w:space="0" w:color="auto"/>
          </w:divBdr>
        </w:div>
        <w:div w:id="1912763866">
          <w:marLeft w:val="0"/>
          <w:marRight w:val="0"/>
          <w:marTop w:val="0"/>
          <w:marBottom w:val="0"/>
          <w:divBdr>
            <w:top w:val="none" w:sz="0" w:space="0" w:color="auto"/>
            <w:left w:val="none" w:sz="0" w:space="0" w:color="auto"/>
            <w:bottom w:val="none" w:sz="0" w:space="0" w:color="auto"/>
            <w:right w:val="none" w:sz="0" w:space="0" w:color="auto"/>
          </w:divBdr>
        </w:div>
        <w:div w:id="1955752002">
          <w:marLeft w:val="0"/>
          <w:marRight w:val="0"/>
          <w:marTop w:val="0"/>
          <w:marBottom w:val="0"/>
          <w:divBdr>
            <w:top w:val="none" w:sz="0" w:space="0" w:color="auto"/>
            <w:left w:val="none" w:sz="0" w:space="0" w:color="auto"/>
            <w:bottom w:val="none" w:sz="0" w:space="0" w:color="auto"/>
            <w:right w:val="none" w:sz="0" w:space="0" w:color="auto"/>
          </w:divBdr>
        </w:div>
        <w:div w:id="1964654883">
          <w:marLeft w:val="0"/>
          <w:marRight w:val="0"/>
          <w:marTop w:val="0"/>
          <w:marBottom w:val="0"/>
          <w:divBdr>
            <w:top w:val="none" w:sz="0" w:space="0" w:color="auto"/>
            <w:left w:val="none" w:sz="0" w:space="0" w:color="auto"/>
            <w:bottom w:val="none" w:sz="0" w:space="0" w:color="auto"/>
            <w:right w:val="none" w:sz="0" w:space="0" w:color="auto"/>
          </w:divBdr>
        </w:div>
        <w:div w:id="1976640594">
          <w:marLeft w:val="0"/>
          <w:marRight w:val="0"/>
          <w:marTop w:val="0"/>
          <w:marBottom w:val="0"/>
          <w:divBdr>
            <w:top w:val="none" w:sz="0" w:space="0" w:color="auto"/>
            <w:left w:val="none" w:sz="0" w:space="0" w:color="auto"/>
            <w:bottom w:val="none" w:sz="0" w:space="0" w:color="auto"/>
            <w:right w:val="none" w:sz="0" w:space="0" w:color="auto"/>
          </w:divBdr>
        </w:div>
        <w:div w:id="1983464794">
          <w:marLeft w:val="180"/>
          <w:marRight w:val="0"/>
          <w:marTop w:val="0"/>
          <w:marBottom w:val="0"/>
          <w:divBdr>
            <w:top w:val="none" w:sz="0" w:space="0" w:color="auto"/>
            <w:left w:val="none" w:sz="0" w:space="0" w:color="auto"/>
            <w:bottom w:val="none" w:sz="0" w:space="0" w:color="auto"/>
            <w:right w:val="none" w:sz="0" w:space="0" w:color="auto"/>
          </w:divBdr>
        </w:div>
        <w:div w:id="1983804802">
          <w:marLeft w:val="180"/>
          <w:marRight w:val="0"/>
          <w:marTop w:val="0"/>
          <w:marBottom w:val="0"/>
          <w:divBdr>
            <w:top w:val="none" w:sz="0" w:space="0" w:color="auto"/>
            <w:left w:val="none" w:sz="0" w:space="0" w:color="auto"/>
            <w:bottom w:val="none" w:sz="0" w:space="0" w:color="auto"/>
            <w:right w:val="none" w:sz="0" w:space="0" w:color="auto"/>
          </w:divBdr>
        </w:div>
        <w:div w:id="2009090655">
          <w:marLeft w:val="180"/>
          <w:marRight w:val="0"/>
          <w:marTop w:val="0"/>
          <w:marBottom w:val="0"/>
          <w:divBdr>
            <w:top w:val="none" w:sz="0" w:space="0" w:color="auto"/>
            <w:left w:val="none" w:sz="0" w:space="0" w:color="auto"/>
            <w:bottom w:val="none" w:sz="0" w:space="0" w:color="auto"/>
            <w:right w:val="none" w:sz="0" w:space="0" w:color="auto"/>
          </w:divBdr>
        </w:div>
        <w:div w:id="2016496063">
          <w:marLeft w:val="0"/>
          <w:marRight w:val="0"/>
          <w:marTop w:val="0"/>
          <w:marBottom w:val="0"/>
          <w:divBdr>
            <w:top w:val="none" w:sz="0" w:space="0" w:color="auto"/>
            <w:left w:val="none" w:sz="0" w:space="0" w:color="auto"/>
            <w:bottom w:val="none" w:sz="0" w:space="0" w:color="auto"/>
            <w:right w:val="none" w:sz="0" w:space="0" w:color="auto"/>
          </w:divBdr>
        </w:div>
        <w:div w:id="2019309624">
          <w:marLeft w:val="0"/>
          <w:marRight w:val="0"/>
          <w:marTop w:val="0"/>
          <w:marBottom w:val="0"/>
          <w:divBdr>
            <w:top w:val="none" w:sz="0" w:space="0" w:color="auto"/>
            <w:left w:val="none" w:sz="0" w:space="0" w:color="auto"/>
            <w:bottom w:val="none" w:sz="0" w:space="0" w:color="auto"/>
            <w:right w:val="none" w:sz="0" w:space="0" w:color="auto"/>
          </w:divBdr>
        </w:div>
        <w:div w:id="2019842128">
          <w:marLeft w:val="0"/>
          <w:marRight w:val="0"/>
          <w:marTop w:val="0"/>
          <w:marBottom w:val="0"/>
          <w:divBdr>
            <w:top w:val="none" w:sz="0" w:space="0" w:color="auto"/>
            <w:left w:val="none" w:sz="0" w:space="0" w:color="auto"/>
            <w:bottom w:val="none" w:sz="0" w:space="0" w:color="auto"/>
            <w:right w:val="none" w:sz="0" w:space="0" w:color="auto"/>
          </w:divBdr>
        </w:div>
        <w:div w:id="2081828436">
          <w:marLeft w:val="0"/>
          <w:marRight w:val="0"/>
          <w:marTop w:val="0"/>
          <w:marBottom w:val="0"/>
          <w:divBdr>
            <w:top w:val="none" w:sz="0" w:space="0" w:color="auto"/>
            <w:left w:val="none" w:sz="0" w:space="0" w:color="auto"/>
            <w:bottom w:val="none" w:sz="0" w:space="0" w:color="auto"/>
            <w:right w:val="none" w:sz="0" w:space="0" w:color="auto"/>
          </w:divBdr>
        </w:div>
        <w:div w:id="2085835221">
          <w:marLeft w:val="0"/>
          <w:marRight w:val="0"/>
          <w:marTop w:val="0"/>
          <w:marBottom w:val="0"/>
          <w:divBdr>
            <w:top w:val="none" w:sz="0" w:space="0" w:color="auto"/>
            <w:left w:val="none" w:sz="0" w:space="0" w:color="auto"/>
            <w:bottom w:val="none" w:sz="0" w:space="0" w:color="auto"/>
            <w:right w:val="none" w:sz="0" w:space="0" w:color="auto"/>
          </w:divBdr>
        </w:div>
        <w:div w:id="2089618079">
          <w:marLeft w:val="0"/>
          <w:marRight w:val="0"/>
          <w:marTop w:val="0"/>
          <w:marBottom w:val="0"/>
          <w:divBdr>
            <w:top w:val="none" w:sz="0" w:space="0" w:color="auto"/>
            <w:left w:val="none" w:sz="0" w:space="0" w:color="auto"/>
            <w:bottom w:val="none" w:sz="0" w:space="0" w:color="auto"/>
            <w:right w:val="none" w:sz="0" w:space="0" w:color="auto"/>
          </w:divBdr>
        </w:div>
        <w:div w:id="2091923138">
          <w:marLeft w:val="0"/>
          <w:marRight w:val="0"/>
          <w:marTop w:val="0"/>
          <w:marBottom w:val="0"/>
          <w:divBdr>
            <w:top w:val="none" w:sz="0" w:space="0" w:color="auto"/>
            <w:left w:val="none" w:sz="0" w:space="0" w:color="auto"/>
            <w:bottom w:val="none" w:sz="0" w:space="0" w:color="auto"/>
            <w:right w:val="none" w:sz="0" w:space="0" w:color="auto"/>
          </w:divBdr>
        </w:div>
      </w:divsChild>
    </w:div>
    <w:div w:id="1755931592">
      <w:bodyDiv w:val="1"/>
      <w:marLeft w:val="0"/>
      <w:marRight w:val="0"/>
      <w:marTop w:val="0"/>
      <w:marBottom w:val="0"/>
      <w:divBdr>
        <w:top w:val="none" w:sz="0" w:space="0" w:color="auto"/>
        <w:left w:val="none" w:sz="0" w:space="0" w:color="auto"/>
        <w:bottom w:val="none" w:sz="0" w:space="0" w:color="auto"/>
        <w:right w:val="none" w:sz="0" w:space="0" w:color="auto"/>
      </w:divBdr>
      <w:divsChild>
        <w:div w:id="1449086937">
          <w:marLeft w:val="0"/>
          <w:marRight w:val="0"/>
          <w:marTop w:val="0"/>
          <w:marBottom w:val="0"/>
          <w:divBdr>
            <w:top w:val="none" w:sz="0" w:space="0" w:color="auto"/>
            <w:left w:val="none" w:sz="0" w:space="0" w:color="auto"/>
            <w:bottom w:val="none" w:sz="0" w:space="0" w:color="auto"/>
            <w:right w:val="none" w:sz="0" w:space="0" w:color="auto"/>
          </w:divBdr>
        </w:div>
      </w:divsChild>
    </w:div>
    <w:div w:id="1795321078">
      <w:bodyDiv w:val="1"/>
      <w:marLeft w:val="0"/>
      <w:marRight w:val="0"/>
      <w:marTop w:val="0"/>
      <w:marBottom w:val="0"/>
      <w:divBdr>
        <w:top w:val="none" w:sz="0" w:space="0" w:color="auto"/>
        <w:left w:val="none" w:sz="0" w:space="0" w:color="auto"/>
        <w:bottom w:val="none" w:sz="0" w:space="0" w:color="auto"/>
        <w:right w:val="none" w:sz="0" w:space="0" w:color="auto"/>
      </w:divBdr>
    </w:div>
    <w:div w:id="1803765160">
      <w:bodyDiv w:val="1"/>
      <w:marLeft w:val="0"/>
      <w:marRight w:val="0"/>
      <w:marTop w:val="0"/>
      <w:marBottom w:val="0"/>
      <w:divBdr>
        <w:top w:val="none" w:sz="0" w:space="0" w:color="auto"/>
        <w:left w:val="none" w:sz="0" w:space="0" w:color="auto"/>
        <w:bottom w:val="none" w:sz="0" w:space="0" w:color="auto"/>
        <w:right w:val="none" w:sz="0" w:space="0" w:color="auto"/>
      </w:divBdr>
      <w:divsChild>
        <w:div w:id="430590310">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5450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24929">
      <w:bodyDiv w:val="1"/>
      <w:marLeft w:val="0"/>
      <w:marRight w:val="0"/>
      <w:marTop w:val="0"/>
      <w:marBottom w:val="0"/>
      <w:divBdr>
        <w:top w:val="none" w:sz="0" w:space="0" w:color="auto"/>
        <w:left w:val="none" w:sz="0" w:space="0" w:color="auto"/>
        <w:bottom w:val="none" w:sz="0" w:space="0" w:color="auto"/>
        <w:right w:val="none" w:sz="0" w:space="0" w:color="auto"/>
      </w:divBdr>
      <w:divsChild>
        <w:div w:id="31199322">
          <w:marLeft w:val="0"/>
          <w:marRight w:val="0"/>
          <w:marTop w:val="0"/>
          <w:marBottom w:val="0"/>
          <w:divBdr>
            <w:top w:val="none" w:sz="0" w:space="0" w:color="auto"/>
            <w:left w:val="none" w:sz="0" w:space="0" w:color="auto"/>
            <w:bottom w:val="none" w:sz="0" w:space="0" w:color="auto"/>
            <w:right w:val="none" w:sz="0" w:space="0" w:color="auto"/>
          </w:divBdr>
        </w:div>
        <w:div w:id="54663630">
          <w:marLeft w:val="0"/>
          <w:marRight w:val="0"/>
          <w:marTop w:val="0"/>
          <w:marBottom w:val="0"/>
          <w:divBdr>
            <w:top w:val="none" w:sz="0" w:space="0" w:color="auto"/>
            <w:left w:val="none" w:sz="0" w:space="0" w:color="auto"/>
            <w:bottom w:val="none" w:sz="0" w:space="0" w:color="auto"/>
            <w:right w:val="none" w:sz="0" w:space="0" w:color="auto"/>
          </w:divBdr>
        </w:div>
        <w:div w:id="58745396">
          <w:marLeft w:val="180"/>
          <w:marRight w:val="0"/>
          <w:marTop w:val="0"/>
          <w:marBottom w:val="0"/>
          <w:divBdr>
            <w:top w:val="none" w:sz="0" w:space="0" w:color="auto"/>
            <w:left w:val="none" w:sz="0" w:space="0" w:color="auto"/>
            <w:bottom w:val="none" w:sz="0" w:space="0" w:color="auto"/>
            <w:right w:val="none" w:sz="0" w:space="0" w:color="auto"/>
          </w:divBdr>
        </w:div>
        <w:div w:id="159006528">
          <w:marLeft w:val="0"/>
          <w:marRight w:val="0"/>
          <w:marTop w:val="0"/>
          <w:marBottom w:val="0"/>
          <w:divBdr>
            <w:top w:val="none" w:sz="0" w:space="0" w:color="auto"/>
            <w:left w:val="none" w:sz="0" w:space="0" w:color="auto"/>
            <w:bottom w:val="none" w:sz="0" w:space="0" w:color="auto"/>
            <w:right w:val="none" w:sz="0" w:space="0" w:color="auto"/>
          </w:divBdr>
        </w:div>
        <w:div w:id="167253383">
          <w:marLeft w:val="0"/>
          <w:marRight w:val="0"/>
          <w:marTop w:val="0"/>
          <w:marBottom w:val="0"/>
          <w:divBdr>
            <w:top w:val="none" w:sz="0" w:space="0" w:color="auto"/>
            <w:left w:val="none" w:sz="0" w:space="0" w:color="auto"/>
            <w:bottom w:val="none" w:sz="0" w:space="0" w:color="auto"/>
            <w:right w:val="none" w:sz="0" w:space="0" w:color="auto"/>
          </w:divBdr>
        </w:div>
        <w:div w:id="240992801">
          <w:marLeft w:val="180"/>
          <w:marRight w:val="0"/>
          <w:marTop w:val="0"/>
          <w:marBottom w:val="0"/>
          <w:divBdr>
            <w:top w:val="none" w:sz="0" w:space="0" w:color="auto"/>
            <w:left w:val="none" w:sz="0" w:space="0" w:color="auto"/>
            <w:bottom w:val="none" w:sz="0" w:space="0" w:color="auto"/>
            <w:right w:val="none" w:sz="0" w:space="0" w:color="auto"/>
          </w:divBdr>
        </w:div>
        <w:div w:id="353120673">
          <w:marLeft w:val="0"/>
          <w:marRight w:val="0"/>
          <w:marTop w:val="0"/>
          <w:marBottom w:val="0"/>
          <w:divBdr>
            <w:top w:val="none" w:sz="0" w:space="0" w:color="auto"/>
            <w:left w:val="none" w:sz="0" w:space="0" w:color="auto"/>
            <w:bottom w:val="none" w:sz="0" w:space="0" w:color="auto"/>
            <w:right w:val="none" w:sz="0" w:space="0" w:color="auto"/>
          </w:divBdr>
        </w:div>
        <w:div w:id="497353181">
          <w:marLeft w:val="0"/>
          <w:marRight w:val="0"/>
          <w:marTop w:val="0"/>
          <w:marBottom w:val="0"/>
          <w:divBdr>
            <w:top w:val="none" w:sz="0" w:space="0" w:color="auto"/>
            <w:left w:val="none" w:sz="0" w:space="0" w:color="auto"/>
            <w:bottom w:val="none" w:sz="0" w:space="0" w:color="auto"/>
            <w:right w:val="none" w:sz="0" w:space="0" w:color="auto"/>
          </w:divBdr>
        </w:div>
        <w:div w:id="568804603">
          <w:marLeft w:val="0"/>
          <w:marRight w:val="0"/>
          <w:marTop w:val="0"/>
          <w:marBottom w:val="0"/>
          <w:divBdr>
            <w:top w:val="none" w:sz="0" w:space="0" w:color="auto"/>
            <w:left w:val="none" w:sz="0" w:space="0" w:color="auto"/>
            <w:bottom w:val="none" w:sz="0" w:space="0" w:color="auto"/>
            <w:right w:val="none" w:sz="0" w:space="0" w:color="auto"/>
          </w:divBdr>
        </w:div>
        <w:div w:id="717168320">
          <w:marLeft w:val="180"/>
          <w:marRight w:val="0"/>
          <w:marTop w:val="0"/>
          <w:marBottom w:val="0"/>
          <w:divBdr>
            <w:top w:val="none" w:sz="0" w:space="0" w:color="auto"/>
            <w:left w:val="none" w:sz="0" w:space="0" w:color="auto"/>
            <w:bottom w:val="none" w:sz="0" w:space="0" w:color="auto"/>
            <w:right w:val="none" w:sz="0" w:space="0" w:color="auto"/>
          </w:divBdr>
        </w:div>
        <w:div w:id="717818196">
          <w:marLeft w:val="0"/>
          <w:marRight w:val="0"/>
          <w:marTop w:val="0"/>
          <w:marBottom w:val="0"/>
          <w:divBdr>
            <w:top w:val="none" w:sz="0" w:space="0" w:color="auto"/>
            <w:left w:val="none" w:sz="0" w:space="0" w:color="auto"/>
            <w:bottom w:val="none" w:sz="0" w:space="0" w:color="auto"/>
            <w:right w:val="none" w:sz="0" w:space="0" w:color="auto"/>
          </w:divBdr>
        </w:div>
        <w:div w:id="728115822">
          <w:marLeft w:val="0"/>
          <w:marRight w:val="0"/>
          <w:marTop w:val="0"/>
          <w:marBottom w:val="0"/>
          <w:divBdr>
            <w:top w:val="none" w:sz="0" w:space="0" w:color="auto"/>
            <w:left w:val="none" w:sz="0" w:space="0" w:color="auto"/>
            <w:bottom w:val="none" w:sz="0" w:space="0" w:color="auto"/>
            <w:right w:val="none" w:sz="0" w:space="0" w:color="auto"/>
          </w:divBdr>
        </w:div>
        <w:div w:id="836772729">
          <w:marLeft w:val="0"/>
          <w:marRight w:val="0"/>
          <w:marTop w:val="0"/>
          <w:marBottom w:val="0"/>
          <w:divBdr>
            <w:top w:val="none" w:sz="0" w:space="0" w:color="auto"/>
            <w:left w:val="none" w:sz="0" w:space="0" w:color="auto"/>
            <w:bottom w:val="none" w:sz="0" w:space="0" w:color="auto"/>
            <w:right w:val="none" w:sz="0" w:space="0" w:color="auto"/>
          </w:divBdr>
        </w:div>
        <w:div w:id="950666255">
          <w:marLeft w:val="0"/>
          <w:marRight w:val="0"/>
          <w:marTop w:val="0"/>
          <w:marBottom w:val="0"/>
          <w:divBdr>
            <w:top w:val="none" w:sz="0" w:space="0" w:color="auto"/>
            <w:left w:val="none" w:sz="0" w:space="0" w:color="auto"/>
            <w:bottom w:val="none" w:sz="0" w:space="0" w:color="auto"/>
            <w:right w:val="none" w:sz="0" w:space="0" w:color="auto"/>
          </w:divBdr>
        </w:div>
        <w:div w:id="1222250763">
          <w:marLeft w:val="0"/>
          <w:marRight w:val="0"/>
          <w:marTop w:val="0"/>
          <w:marBottom w:val="0"/>
          <w:divBdr>
            <w:top w:val="none" w:sz="0" w:space="0" w:color="auto"/>
            <w:left w:val="none" w:sz="0" w:space="0" w:color="auto"/>
            <w:bottom w:val="none" w:sz="0" w:space="0" w:color="auto"/>
            <w:right w:val="none" w:sz="0" w:space="0" w:color="auto"/>
          </w:divBdr>
        </w:div>
        <w:div w:id="1320766231">
          <w:marLeft w:val="0"/>
          <w:marRight w:val="0"/>
          <w:marTop w:val="0"/>
          <w:marBottom w:val="0"/>
          <w:divBdr>
            <w:top w:val="none" w:sz="0" w:space="0" w:color="auto"/>
            <w:left w:val="none" w:sz="0" w:space="0" w:color="auto"/>
            <w:bottom w:val="none" w:sz="0" w:space="0" w:color="auto"/>
            <w:right w:val="none" w:sz="0" w:space="0" w:color="auto"/>
          </w:divBdr>
        </w:div>
        <w:div w:id="1364750447">
          <w:marLeft w:val="0"/>
          <w:marRight w:val="0"/>
          <w:marTop w:val="0"/>
          <w:marBottom w:val="0"/>
          <w:divBdr>
            <w:top w:val="none" w:sz="0" w:space="0" w:color="auto"/>
            <w:left w:val="none" w:sz="0" w:space="0" w:color="auto"/>
            <w:bottom w:val="none" w:sz="0" w:space="0" w:color="auto"/>
            <w:right w:val="none" w:sz="0" w:space="0" w:color="auto"/>
          </w:divBdr>
        </w:div>
        <w:div w:id="1466046635">
          <w:marLeft w:val="0"/>
          <w:marRight w:val="0"/>
          <w:marTop w:val="0"/>
          <w:marBottom w:val="0"/>
          <w:divBdr>
            <w:top w:val="none" w:sz="0" w:space="0" w:color="auto"/>
            <w:left w:val="none" w:sz="0" w:space="0" w:color="auto"/>
            <w:bottom w:val="none" w:sz="0" w:space="0" w:color="auto"/>
            <w:right w:val="none" w:sz="0" w:space="0" w:color="auto"/>
          </w:divBdr>
        </w:div>
        <w:div w:id="1527595311">
          <w:marLeft w:val="0"/>
          <w:marRight w:val="0"/>
          <w:marTop w:val="0"/>
          <w:marBottom w:val="0"/>
          <w:divBdr>
            <w:top w:val="none" w:sz="0" w:space="0" w:color="auto"/>
            <w:left w:val="none" w:sz="0" w:space="0" w:color="auto"/>
            <w:bottom w:val="none" w:sz="0" w:space="0" w:color="auto"/>
            <w:right w:val="none" w:sz="0" w:space="0" w:color="auto"/>
          </w:divBdr>
        </w:div>
        <w:div w:id="1575699577">
          <w:marLeft w:val="0"/>
          <w:marRight w:val="0"/>
          <w:marTop w:val="0"/>
          <w:marBottom w:val="0"/>
          <w:divBdr>
            <w:top w:val="none" w:sz="0" w:space="0" w:color="auto"/>
            <w:left w:val="none" w:sz="0" w:space="0" w:color="auto"/>
            <w:bottom w:val="none" w:sz="0" w:space="0" w:color="auto"/>
            <w:right w:val="none" w:sz="0" w:space="0" w:color="auto"/>
          </w:divBdr>
        </w:div>
        <w:div w:id="1698198794">
          <w:marLeft w:val="0"/>
          <w:marRight w:val="0"/>
          <w:marTop w:val="0"/>
          <w:marBottom w:val="0"/>
          <w:divBdr>
            <w:top w:val="none" w:sz="0" w:space="0" w:color="auto"/>
            <w:left w:val="none" w:sz="0" w:space="0" w:color="auto"/>
            <w:bottom w:val="none" w:sz="0" w:space="0" w:color="auto"/>
            <w:right w:val="none" w:sz="0" w:space="0" w:color="auto"/>
          </w:divBdr>
        </w:div>
        <w:div w:id="1770926435">
          <w:marLeft w:val="0"/>
          <w:marRight w:val="0"/>
          <w:marTop w:val="0"/>
          <w:marBottom w:val="0"/>
          <w:divBdr>
            <w:top w:val="none" w:sz="0" w:space="0" w:color="auto"/>
            <w:left w:val="none" w:sz="0" w:space="0" w:color="auto"/>
            <w:bottom w:val="none" w:sz="0" w:space="0" w:color="auto"/>
            <w:right w:val="none" w:sz="0" w:space="0" w:color="auto"/>
          </w:divBdr>
        </w:div>
        <w:div w:id="1774590077">
          <w:marLeft w:val="0"/>
          <w:marRight w:val="0"/>
          <w:marTop w:val="0"/>
          <w:marBottom w:val="0"/>
          <w:divBdr>
            <w:top w:val="none" w:sz="0" w:space="0" w:color="auto"/>
            <w:left w:val="none" w:sz="0" w:space="0" w:color="auto"/>
            <w:bottom w:val="none" w:sz="0" w:space="0" w:color="auto"/>
            <w:right w:val="none" w:sz="0" w:space="0" w:color="auto"/>
          </w:divBdr>
        </w:div>
        <w:div w:id="1787851172">
          <w:marLeft w:val="0"/>
          <w:marRight w:val="0"/>
          <w:marTop w:val="0"/>
          <w:marBottom w:val="0"/>
          <w:divBdr>
            <w:top w:val="none" w:sz="0" w:space="0" w:color="auto"/>
            <w:left w:val="none" w:sz="0" w:space="0" w:color="auto"/>
            <w:bottom w:val="none" w:sz="0" w:space="0" w:color="auto"/>
            <w:right w:val="none" w:sz="0" w:space="0" w:color="auto"/>
          </w:divBdr>
        </w:div>
        <w:div w:id="1816868171">
          <w:marLeft w:val="0"/>
          <w:marRight w:val="0"/>
          <w:marTop w:val="0"/>
          <w:marBottom w:val="0"/>
          <w:divBdr>
            <w:top w:val="none" w:sz="0" w:space="0" w:color="auto"/>
            <w:left w:val="none" w:sz="0" w:space="0" w:color="auto"/>
            <w:bottom w:val="none" w:sz="0" w:space="0" w:color="auto"/>
            <w:right w:val="none" w:sz="0" w:space="0" w:color="auto"/>
          </w:divBdr>
        </w:div>
        <w:div w:id="2106732061">
          <w:marLeft w:val="0"/>
          <w:marRight w:val="0"/>
          <w:marTop w:val="0"/>
          <w:marBottom w:val="0"/>
          <w:divBdr>
            <w:top w:val="none" w:sz="0" w:space="0" w:color="auto"/>
            <w:left w:val="none" w:sz="0" w:space="0" w:color="auto"/>
            <w:bottom w:val="none" w:sz="0" w:space="0" w:color="auto"/>
            <w:right w:val="none" w:sz="0" w:space="0" w:color="auto"/>
          </w:divBdr>
        </w:div>
      </w:divsChild>
    </w:div>
    <w:div w:id="1855532351">
      <w:bodyDiv w:val="1"/>
      <w:marLeft w:val="0"/>
      <w:marRight w:val="0"/>
      <w:marTop w:val="0"/>
      <w:marBottom w:val="0"/>
      <w:divBdr>
        <w:top w:val="none" w:sz="0" w:space="0" w:color="auto"/>
        <w:left w:val="none" w:sz="0" w:space="0" w:color="auto"/>
        <w:bottom w:val="none" w:sz="0" w:space="0" w:color="auto"/>
        <w:right w:val="none" w:sz="0" w:space="0" w:color="auto"/>
      </w:divBdr>
    </w:div>
    <w:div w:id="1869753265">
      <w:bodyDiv w:val="1"/>
      <w:marLeft w:val="0"/>
      <w:marRight w:val="0"/>
      <w:marTop w:val="0"/>
      <w:marBottom w:val="0"/>
      <w:divBdr>
        <w:top w:val="none" w:sz="0" w:space="0" w:color="auto"/>
        <w:left w:val="none" w:sz="0" w:space="0" w:color="auto"/>
        <w:bottom w:val="none" w:sz="0" w:space="0" w:color="auto"/>
        <w:right w:val="none" w:sz="0" w:space="0" w:color="auto"/>
      </w:divBdr>
    </w:div>
    <w:div w:id="1879468895">
      <w:bodyDiv w:val="1"/>
      <w:marLeft w:val="0"/>
      <w:marRight w:val="0"/>
      <w:marTop w:val="0"/>
      <w:marBottom w:val="0"/>
      <w:divBdr>
        <w:top w:val="none" w:sz="0" w:space="0" w:color="auto"/>
        <w:left w:val="none" w:sz="0" w:space="0" w:color="auto"/>
        <w:bottom w:val="none" w:sz="0" w:space="0" w:color="auto"/>
        <w:right w:val="none" w:sz="0" w:space="0" w:color="auto"/>
      </w:divBdr>
    </w:div>
    <w:div w:id="2085761825">
      <w:bodyDiv w:val="1"/>
      <w:marLeft w:val="0"/>
      <w:marRight w:val="0"/>
      <w:marTop w:val="0"/>
      <w:marBottom w:val="0"/>
      <w:divBdr>
        <w:top w:val="none" w:sz="0" w:space="0" w:color="auto"/>
        <w:left w:val="none" w:sz="0" w:space="0" w:color="auto"/>
        <w:bottom w:val="none" w:sz="0" w:space="0" w:color="auto"/>
        <w:right w:val="none" w:sz="0" w:space="0" w:color="auto"/>
      </w:divBdr>
    </w:div>
    <w:div w:id="2090693773">
      <w:bodyDiv w:val="1"/>
      <w:marLeft w:val="0"/>
      <w:marRight w:val="0"/>
      <w:marTop w:val="0"/>
      <w:marBottom w:val="0"/>
      <w:divBdr>
        <w:top w:val="none" w:sz="0" w:space="0" w:color="auto"/>
        <w:left w:val="none" w:sz="0" w:space="0" w:color="auto"/>
        <w:bottom w:val="none" w:sz="0" w:space="0" w:color="auto"/>
        <w:right w:val="none" w:sz="0" w:space="0" w:color="auto"/>
      </w:divBdr>
    </w:div>
    <w:div w:id="2102875139">
      <w:bodyDiv w:val="1"/>
      <w:marLeft w:val="0"/>
      <w:marRight w:val="0"/>
      <w:marTop w:val="0"/>
      <w:marBottom w:val="0"/>
      <w:divBdr>
        <w:top w:val="none" w:sz="0" w:space="0" w:color="auto"/>
        <w:left w:val="none" w:sz="0" w:space="0" w:color="auto"/>
        <w:bottom w:val="none" w:sz="0" w:space="0" w:color="auto"/>
        <w:right w:val="none" w:sz="0" w:space="0" w:color="auto"/>
      </w:divBdr>
    </w:div>
    <w:div w:id="2108647620">
      <w:bodyDiv w:val="1"/>
      <w:marLeft w:val="0"/>
      <w:marRight w:val="0"/>
      <w:marTop w:val="0"/>
      <w:marBottom w:val="0"/>
      <w:divBdr>
        <w:top w:val="none" w:sz="0" w:space="0" w:color="auto"/>
        <w:left w:val="none" w:sz="0" w:space="0" w:color="auto"/>
        <w:bottom w:val="none" w:sz="0" w:space="0" w:color="auto"/>
        <w:right w:val="none" w:sz="0" w:space="0" w:color="auto"/>
      </w:divBdr>
    </w:div>
    <w:div w:id="212202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F41B3-51FA-40DB-A423-750C6219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5451</Words>
  <Characters>31071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Beebe, Barton</cp:lastModifiedBy>
  <cp:revision>4</cp:revision>
  <cp:lastPrinted>2019-01-14T18:07:00Z</cp:lastPrinted>
  <dcterms:created xsi:type="dcterms:W3CDTF">2019-01-14T13:45:00Z</dcterms:created>
  <dcterms:modified xsi:type="dcterms:W3CDTF">2019-01-14T18:07:00Z</dcterms:modified>
</cp:coreProperties>
</file>