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AB" w:rsidRDefault="00DA04AB" w:rsidP="00DA04AB">
      <w:pPr>
        <w:ind w:firstLine="0"/>
        <w:jc w:val="center"/>
        <w:rPr>
          <w:b/>
        </w:rPr>
      </w:pPr>
      <w:r>
        <w:rPr>
          <w:b/>
        </w:rPr>
        <w:t>Conversion Guide for Converting Lanham Act Section Numbers to U.S.C. Section Numbers</w:t>
      </w:r>
    </w:p>
    <w:p w:rsidR="00DA04AB" w:rsidRDefault="00DA04AB" w:rsidP="00DA04AB">
      <w:pPr>
        <w:ind w:firstLine="0"/>
        <w:jc w:val="center"/>
        <w:rPr>
          <w:b/>
        </w:rPr>
      </w:pPr>
      <w:r>
        <w:rPr>
          <w:b/>
        </w:rPr>
        <w:t>(As at 08/2018)</w:t>
      </w:r>
    </w:p>
    <w:p w:rsidR="00DA04AB" w:rsidRDefault="00DA04AB" w:rsidP="00DA04AB">
      <w:pPr>
        <w:ind w:firstLine="0"/>
        <w:jc w:val="center"/>
        <w:rPr>
          <w:b/>
        </w:rPr>
      </w:pPr>
      <w:r>
        <w:rPr>
          <w:b/>
        </w:rPr>
        <w:t>Prof. Barton Beebe</w:t>
      </w:r>
    </w:p>
    <w:p w:rsidR="00DA04AB" w:rsidRDefault="00DA04AB" w:rsidP="00DA04AB">
      <w:pPr>
        <w:ind w:firstLine="0"/>
        <w:jc w:val="center"/>
        <w:rPr>
          <w:b/>
        </w:rPr>
      </w:pPr>
      <w:r>
        <w:rPr>
          <w:b/>
        </w:rPr>
        <w:t>NYU School of Law</w:t>
      </w:r>
    </w:p>
    <w:p w:rsidR="00DA04AB" w:rsidRDefault="00DA04AB" w:rsidP="00DA04AB">
      <w:pPr>
        <w:ind w:firstLine="0"/>
        <w:rPr>
          <w:b/>
        </w:rPr>
      </w:pPr>
    </w:p>
    <w:p w:rsidR="00CD6D9C" w:rsidRDefault="00CD6D9C" w:rsidP="00CD6D9C">
      <w:pPr>
        <w:ind w:firstLine="0"/>
        <w:jc w:val="center"/>
        <w:rPr>
          <w:b/>
        </w:rPr>
      </w:pPr>
      <w:r>
        <w:rPr>
          <w:b/>
        </w:rPr>
        <w:t>15 U.S.C. §1051 et seq.</w:t>
      </w:r>
    </w:p>
    <w:p w:rsidR="00CD6D9C" w:rsidRDefault="00CD6D9C" w:rsidP="00DA04AB">
      <w:pPr>
        <w:ind w:firstLine="0"/>
        <w:rPr>
          <w:b/>
        </w:rPr>
      </w:pPr>
      <w:bookmarkStart w:id="0" w:name="_GoBack"/>
      <w:bookmarkEnd w:id="0"/>
    </w:p>
    <w:p w:rsidR="00DA04AB" w:rsidRPr="00DA04AB" w:rsidRDefault="00DA04AB" w:rsidP="00DA04AB">
      <w:pPr>
        <w:ind w:firstLine="0"/>
        <w:rPr>
          <w:b/>
        </w:rPr>
      </w:pPr>
      <w:r w:rsidRPr="00DA04AB">
        <w:rPr>
          <w:b/>
        </w:rPr>
        <w:t>Subchapter I - The Principal Register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§1051 (Section 1 of the Lanham Act). Application for registration; verification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§1052 (Section 2 of the Lanham Act). Trademarks registrable on principal register; concurrent registration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§1053 (Section 3 of the Lanham Act). Service marks registrable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§1054 (Section 4 of the Lanham Act). Collective marks and certification marks registrable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§1055 (Section 5 of the Lanham Act). Use by related companies affecting validity and registration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 xml:space="preserve">§1056 (Section 6 of the Lanham Act). Disclaimer of </w:t>
      </w:r>
      <w:proofErr w:type="spellStart"/>
      <w:r>
        <w:t>unregistrable</w:t>
      </w:r>
      <w:proofErr w:type="spellEnd"/>
      <w:r>
        <w:t xml:space="preserve"> matter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§1057 (Section 7 of the Lanham Act). Certificates of registration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§1058 (Section 8 of the Lanham Act). Duration, affidavits and fees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§1059 (Section 9 of the Lanham Act). Renewal of registration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§1060 (Section 10 of the Lanham Act). Assignment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§1061 (Section 11 of the Lanham Act). Execution of acknowledgments and verifications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§1062 (Section 12 of the Lanham Act). Publication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§1063 (Section 13 of the Lanham Act). Opposition to registration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§1064 (Section 14 of the Lanham Act). Cancellation of registration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§1065 (Section 15 of the Lanham Act). Incontestability of right to use mark under certain conditions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§1066 (Section 16 of the Lanham Act). Interference; declaration by Director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§1067 (Section 17 of the Lanham Act). Interference, opposition, and proceedings for concurrent use registration or for cancellation; notice; Trademark Trial and Appeal Board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§1068 (Section 18 of the Lanham Act). Action of Director in interference, opposition, and proceedings for concurrent use registration or for cancellation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 xml:space="preserve">§1069 (Section 19 of the Lanham Act). Application of equitable principles in inter </w:t>
      </w:r>
      <w:proofErr w:type="spellStart"/>
      <w:r>
        <w:t>partes</w:t>
      </w:r>
      <w:proofErr w:type="spellEnd"/>
      <w:r>
        <w:t xml:space="preserve"> proceedings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§1070 (Section 20 of the Lanham Act). Appeals to Trademark Trial and Appeal Board from decisions of examiners</w:t>
      </w:r>
    </w:p>
    <w:p w:rsidR="00DA04AB" w:rsidRDefault="00DA04AB" w:rsidP="00DA04AB">
      <w:pPr>
        <w:pStyle w:val="ListParagraph"/>
        <w:numPr>
          <w:ilvl w:val="0"/>
          <w:numId w:val="1"/>
        </w:numPr>
      </w:pPr>
      <w:r>
        <w:t>§1071 (Section 21 of the Lanham Act). Appeal to courts</w:t>
      </w:r>
    </w:p>
    <w:p w:rsidR="00920FFB" w:rsidRDefault="00DA04AB" w:rsidP="00DA04AB">
      <w:pPr>
        <w:pStyle w:val="ListParagraph"/>
        <w:numPr>
          <w:ilvl w:val="0"/>
          <w:numId w:val="1"/>
        </w:numPr>
      </w:pPr>
      <w:r>
        <w:t>§1072 (Section 22 of the Lanham Act). Registration as constructive notice of claim of ownership</w:t>
      </w:r>
    </w:p>
    <w:p w:rsidR="00DA04AB" w:rsidRDefault="00DA04AB" w:rsidP="00DA04AB"/>
    <w:p w:rsidR="00DA04AB" w:rsidRPr="00DA04AB" w:rsidRDefault="00DA04AB" w:rsidP="00DA04AB">
      <w:pPr>
        <w:ind w:firstLine="0"/>
        <w:rPr>
          <w:b/>
        </w:rPr>
      </w:pPr>
      <w:r w:rsidRPr="00DA04AB">
        <w:rPr>
          <w:b/>
        </w:rPr>
        <w:t>Subchapter II - The Supplemental Register</w:t>
      </w:r>
    </w:p>
    <w:p w:rsidR="00DA04AB" w:rsidRDefault="00DA04AB" w:rsidP="00DA04AB">
      <w:pPr>
        <w:pStyle w:val="ListParagraph"/>
        <w:numPr>
          <w:ilvl w:val="0"/>
          <w:numId w:val="2"/>
        </w:numPr>
      </w:pPr>
      <w:r>
        <w:t>§1091 (Section 23 of the Lanham Act). Supplemental register</w:t>
      </w:r>
    </w:p>
    <w:p w:rsidR="00DA04AB" w:rsidRDefault="00DA04AB" w:rsidP="00DA04AB">
      <w:pPr>
        <w:pStyle w:val="ListParagraph"/>
        <w:numPr>
          <w:ilvl w:val="0"/>
          <w:numId w:val="2"/>
        </w:numPr>
      </w:pPr>
      <w:r>
        <w:t>§1092 (Section 24 of the Lanham Act). Publication; not subject to opposition; cancellation</w:t>
      </w:r>
    </w:p>
    <w:p w:rsidR="00DA04AB" w:rsidRDefault="00DA04AB" w:rsidP="00DA04AB">
      <w:pPr>
        <w:pStyle w:val="ListParagraph"/>
        <w:numPr>
          <w:ilvl w:val="0"/>
          <w:numId w:val="2"/>
        </w:numPr>
      </w:pPr>
      <w:r>
        <w:t>§1093 (Section 25 of the Lanham Act). Registration certificates for marks on principal and supplemental registers to be different</w:t>
      </w:r>
    </w:p>
    <w:p w:rsidR="00DA04AB" w:rsidRDefault="00DA04AB" w:rsidP="00DA04AB">
      <w:pPr>
        <w:pStyle w:val="ListParagraph"/>
        <w:numPr>
          <w:ilvl w:val="0"/>
          <w:numId w:val="2"/>
        </w:numPr>
      </w:pPr>
      <w:r>
        <w:t>§1094 (Section 26 of the Lanham Act). Provisions of chapter applicable to registrations on supplemental register</w:t>
      </w:r>
    </w:p>
    <w:p w:rsidR="00DA04AB" w:rsidRDefault="00DA04AB" w:rsidP="00DA04AB">
      <w:pPr>
        <w:pStyle w:val="ListParagraph"/>
        <w:numPr>
          <w:ilvl w:val="0"/>
          <w:numId w:val="2"/>
        </w:numPr>
      </w:pPr>
      <w:r>
        <w:lastRenderedPageBreak/>
        <w:t>§1095 (Section 27 of the Lanham Act). Registration on principal register not precluded</w:t>
      </w:r>
    </w:p>
    <w:p w:rsidR="00DA04AB" w:rsidRDefault="00DA04AB" w:rsidP="00DA04AB">
      <w:pPr>
        <w:pStyle w:val="ListParagraph"/>
        <w:numPr>
          <w:ilvl w:val="0"/>
          <w:numId w:val="2"/>
        </w:numPr>
      </w:pPr>
      <w:r>
        <w:t>§1096 (Section 28 of the Lanham Act). Registration on supplemental register not used to stop importations</w:t>
      </w:r>
    </w:p>
    <w:p w:rsidR="00DA04AB" w:rsidRDefault="00DA04AB" w:rsidP="00DA04AB"/>
    <w:p w:rsidR="00DA04AB" w:rsidRPr="00DA04AB" w:rsidRDefault="00DA04AB" w:rsidP="00DA04AB">
      <w:pPr>
        <w:ind w:firstLine="0"/>
        <w:rPr>
          <w:b/>
        </w:rPr>
      </w:pPr>
      <w:r w:rsidRPr="00DA04AB">
        <w:rPr>
          <w:b/>
        </w:rPr>
        <w:t>Subchapter III - General Provisions</w:t>
      </w:r>
    </w:p>
    <w:p w:rsidR="00DA04AB" w:rsidRDefault="00DA04AB" w:rsidP="00DA04AB"/>
    <w:p w:rsidR="00DA04AB" w:rsidRDefault="00DA04AB" w:rsidP="00DA04AB">
      <w:pPr>
        <w:pStyle w:val="ListParagraph"/>
        <w:numPr>
          <w:ilvl w:val="0"/>
          <w:numId w:val="3"/>
        </w:numPr>
      </w:pPr>
      <w:r>
        <w:t>§1111 (Section 29 of the Lanham Act). Notice of registration; display with mark; recovery of profits and damages in infringement suit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§1112 (Section 30 of the Lanham Act). Classification of goods and services; registration in plurality of classes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§1113 (Section 31 of the Lanham Act). Fees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§1114 (Section 32 of the Lanham Act). Remedies; infringement; innocent infringement by printers and publishers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§1115 (Section 33 of the Lanham Act). Registration on principal register as evidence of exclusive right to use mark; defenses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§1116 (Section 34 of the Lanham Act). Injunctive relief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§1117 (Section 35 of the Lanham Act). Recovery for violation of rights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§1118 (Section 36 of the Lanham Act). Destruction of infringing articles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§1119 (Section 37 of the Lanham Act). Power of court over registration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§1120 (Section 38 of the Lanham Act). Civil liability for false or fraudulent registration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§1121 (Section 39 of the Lanham Act). Jurisdiction of Federal courts; State and local requirements that registered trademarks be altered or displayed differently; prohibition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§1121a . Transferred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§1122 (Section 40 of the Lanham Act). Liability of United States and States, and instrumentalities and officials thereof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§1123 (Section 41 of the Lanham Act). Rules and regulations for conduct of proceedings in Patent and Trademark Office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§1124 (Section 42 of the Lanham Act). Importation of goods bearing infringing marks or names forbidden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§1125 (Section 43 of the Lanham Act). False designations of origin, false descriptions, and dilution forbidden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§1126 (Section 44 of the Lanham Act). International conventions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§1127 (Section 45 of the Lanham Act). Construction and definitions; intent of chapter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§1128. Repealed</w:t>
      </w:r>
    </w:p>
    <w:p w:rsidR="00DA04AB" w:rsidRDefault="00DA04AB" w:rsidP="00DA04AB">
      <w:pPr>
        <w:pStyle w:val="ListParagraph"/>
        <w:numPr>
          <w:ilvl w:val="0"/>
          <w:numId w:val="3"/>
        </w:numPr>
      </w:pPr>
      <w:r>
        <w:t>§1129. Transferred</w:t>
      </w:r>
    </w:p>
    <w:p w:rsidR="00DA04AB" w:rsidRDefault="00DA04AB" w:rsidP="00DA04AB"/>
    <w:p w:rsidR="00DA04AB" w:rsidRPr="00DA04AB" w:rsidRDefault="00DA04AB" w:rsidP="00DA04AB">
      <w:pPr>
        <w:ind w:firstLine="0"/>
        <w:rPr>
          <w:b/>
        </w:rPr>
      </w:pPr>
      <w:r w:rsidRPr="00DA04AB">
        <w:rPr>
          <w:b/>
        </w:rPr>
        <w:t>Subchapter IV - The Madrid Protocol</w:t>
      </w:r>
    </w:p>
    <w:p w:rsidR="00DA04AB" w:rsidRDefault="00DA04AB" w:rsidP="00DA04AB"/>
    <w:p w:rsidR="00DA04AB" w:rsidRDefault="00DA04AB" w:rsidP="00DA04AB">
      <w:pPr>
        <w:pStyle w:val="ListParagraph"/>
        <w:numPr>
          <w:ilvl w:val="0"/>
          <w:numId w:val="4"/>
        </w:numPr>
      </w:pPr>
      <w:r>
        <w:t>§1141. Definitions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§1141a. International applications based on United States applications or registrations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§1141b. Certification of the international application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§1141c. Restriction, abandonment, cancellation, or expiration of a basic application or basic registration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§1141d. Request for extension of protection subsequent to international registration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lastRenderedPageBreak/>
        <w:t>§1141e. Extension of protection of an international registration to the United States under the Madrid Protocol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§1141f. Effect of filing a request for extension of protection of an international registration to the United States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§1141g. Right of priority for request for extension of protection to the United States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§1141h. Examination of and opposition to request for extension of protection; notification of refusal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§1141i. Effect of extension of protection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§1141j. Dependence of extension of protection to the United States on the underlying international registration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§1141k. Duration, affidavits and fees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§1141l. Assignment of an extension of protection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§1141m. Incontestability</w:t>
      </w:r>
    </w:p>
    <w:p w:rsidR="00DA04AB" w:rsidRDefault="00DA04AB" w:rsidP="00DA04AB">
      <w:pPr>
        <w:pStyle w:val="ListParagraph"/>
        <w:numPr>
          <w:ilvl w:val="0"/>
          <w:numId w:val="4"/>
        </w:numPr>
      </w:pPr>
      <w:r>
        <w:t>§1141n. Rights of extension of protection</w:t>
      </w:r>
    </w:p>
    <w:p w:rsidR="00DA04AB" w:rsidRDefault="00DA04AB" w:rsidP="00DA04AB"/>
    <w:sectPr w:rsidR="00DA04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27" w:rsidRDefault="00384827" w:rsidP="00DA04AB">
      <w:pPr>
        <w:spacing w:line="240" w:lineRule="auto"/>
      </w:pPr>
      <w:r>
        <w:separator/>
      </w:r>
    </w:p>
  </w:endnote>
  <w:endnote w:type="continuationSeparator" w:id="0">
    <w:p w:rsidR="00384827" w:rsidRDefault="00384827" w:rsidP="00DA0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623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4AB" w:rsidRDefault="00DA04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D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04AB" w:rsidRDefault="00DA0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27" w:rsidRDefault="00384827" w:rsidP="00DA04AB">
      <w:pPr>
        <w:spacing w:line="240" w:lineRule="auto"/>
      </w:pPr>
      <w:r>
        <w:separator/>
      </w:r>
    </w:p>
  </w:footnote>
  <w:footnote w:type="continuationSeparator" w:id="0">
    <w:p w:rsidR="00384827" w:rsidRDefault="00384827" w:rsidP="00DA0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782"/>
    <w:multiLevelType w:val="hybridMultilevel"/>
    <w:tmpl w:val="74C2A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66BBC"/>
    <w:multiLevelType w:val="hybridMultilevel"/>
    <w:tmpl w:val="D910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51476"/>
    <w:multiLevelType w:val="hybridMultilevel"/>
    <w:tmpl w:val="487E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EB188D"/>
    <w:multiLevelType w:val="hybridMultilevel"/>
    <w:tmpl w:val="0EE0F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AB"/>
    <w:rsid w:val="000E4C27"/>
    <w:rsid w:val="00384827"/>
    <w:rsid w:val="00920FFB"/>
    <w:rsid w:val="00C2795E"/>
    <w:rsid w:val="00CD6D9C"/>
    <w:rsid w:val="00D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FE82-7CBB-4383-A9F9-2C92793A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2"/>
        <w:szCs w:val="22"/>
        <w:lang w:val="en-US" w:eastAsia="en-US" w:bidi="ar-SA"/>
      </w:rPr>
    </w:rPrDefault>
    <w:pPrDefault>
      <w:pPr>
        <w:spacing w:line="259" w:lineRule="auto"/>
        <w:ind w:firstLine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4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4AB"/>
  </w:style>
  <w:style w:type="paragraph" w:styleId="Footer">
    <w:name w:val="footer"/>
    <w:basedOn w:val="Normal"/>
    <w:link w:val="FooterChar"/>
    <w:uiPriority w:val="99"/>
    <w:unhideWhenUsed/>
    <w:rsid w:val="00DA04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Beebe</dc:creator>
  <cp:keywords/>
  <dc:description/>
  <cp:lastModifiedBy>Barton Beebe</cp:lastModifiedBy>
  <cp:revision>2</cp:revision>
  <cp:lastPrinted>2018-08-17T17:57:00Z</cp:lastPrinted>
  <dcterms:created xsi:type="dcterms:W3CDTF">2018-08-17T17:52:00Z</dcterms:created>
  <dcterms:modified xsi:type="dcterms:W3CDTF">2018-08-17T17:59:00Z</dcterms:modified>
</cp:coreProperties>
</file>