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AB" w:rsidRDefault="00DA04AB" w:rsidP="00DA04AB">
      <w:pPr>
        <w:ind w:firstLine="0"/>
        <w:jc w:val="center"/>
        <w:rPr>
          <w:b/>
        </w:rPr>
      </w:pPr>
      <w:r>
        <w:rPr>
          <w:b/>
        </w:rPr>
        <w:t>Conversion Guide for Converting Lanham Act Section Numbers to U.S.C. Section Numbers</w:t>
      </w:r>
    </w:p>
    <w:p w:rsidR="00DA04AB" w:rsidRDefault="00DA04AB" w:rsidP="00DA04AB">
      <w:pPr>
        <w:ind w:firstLine="0"/>
        <w:jc w:val="center"/>
        <w:rPr>
          <w:b/>
        </w:rPr>
      </w:pPr>
      <w:r>
        <w:rPr>
          <w:b/>
        </w:rPr>
        <w:t>(As at 08/2018)</w:t>
      </w:r>
    </w:p>
    <w:p w:rsidR="00DA04AB" w:rsidRDefault="00DA04AB" w:rsidP="00DA04AB">
      <w:pPr>
        <w:ind w:firstLine="0"/>
        <w:jc w:val="center"/>
        <w:rPr>
          <w:b/>
        </w:rPr>
      </w:pPr>
      <w:r>
        <w:rPr>
          <w:b/>
        </w:rPr>
        <w:t>Prof. Barton Beebe</w:t>
      </w:r>
    </w:p>
    <w:p w:rsidR="00DA04AB" w:rsidRDefault="00DA04AB" w:rsidP="00DA04AB">
      <w:pPr>
        <w:ind w:firstLine="0"/>
        <w:jc w:val="center"/>
        <w:rPr>
          <w:b/>
        </w:rPr>
      </w:pPr>
      <w:r>
        <w:rPr>
          <w:b/>
        </w:rPr>
        <w:t>NYU School of Law</w:t>
      </w:r>
    </w:p>
    <w:p w:rsidR="00DA04AB" w:rsidRDefault="00DA04AB" w:rsidP="00DA04AB">
      <w:pPr>
        <w:ind w:firstLine="0"/>
        <w:rPr>
          <w:b/>
        </w:rPr>
      </w:pPr>
    </w:p>
    <w:p w:rsidR="00CD6D9C" w:rsidRDefault="00CD6D9C" w:rsidP="00CD6D9C">
      <w:pPr>
        <w:ind w:firstLine="0"/>
        <w:jc w:val="center"/>
        <w:rPr>
          <w:b/>
        </w:rPr>
      </w:pPr>
      <w:r>
        <w:rPr>
          <w:b/>
        </w:rPr>
        <w:t>15 U.S.C. §1051 et seq.</w:t>
      </w:r>
    </w:p>
    <w:p w:rsidR="00CD6D9C" w:rsidRDefault="00CD6D9C" w:rsidP="00DA04AB">
      <w:pPr>
        <w:ind w:firstLine="0"/>
        <w:rPr>
          <w:b/>
        </w:rPr>
      </w:pPr>
      <w:bookmarkStart w:id="0" w:name="_GoBack"/>
      <w:bookmarkEnd w:id="0"/>
    </w:p>
    <w:p w:rsidR="00DA04AB" w:rsidRPr="00DA04AB" w:rsidRDefault="00DA04AB" w:rsidP="00DA04AB">
      <w:pPr>
        <w:ind w:firstLine="0"/>
        <w:rPr>
          <w:b/>
        </w:rPr>
      </w:pPr>
      <w:r w:rsidRPr="00DA04AB">
        <w:rPr>
          <w:b/>
        </w:rPr>
        <w:t>Subchapter I - The Principal Register</w:t>
      </w:r>
    </w:p>
    <w:p w:rsidR="00DA04AB" w:rsidRDefault="00DA04AB" w:rsidP="00DA04AB">
      <w:pPr>
        <w:pStyle w:val="ListParagraph"/>
        <w:numPr>
          <w:ilvl w:val="0"/>
          <w:numId w:val="1"/>
        </w:numPr>
      </w:pPr>
      <w:r>
        <w:t>§1051 (Section 1 of the Lanham Act). Application for registration; verification</w:t>
      </w:r>
    </w:p>
    <w:p w:rsidR="00DA04AB" w:rsidRDefault="00DA04AB" w:rsidP="00DA04AB">
      <w:pPr>
        <w:pStyle w:val="ListParagraph"/>
        <w:numPr>
          <w:ilvl w:val="0"/>
          <w:numId w:val="1"/>
        </w:numPr>
      </w:pPr>
      <w:r>
        <w:t>§1052 (Section 2 of the Lanham Act). Trademarks registrable on principal register; concurrent registration</w:t>
      </w:r>
    </w:p>
    <w:p w:rsidR="00DA04AB" w:rsidRDefault="00DA04AB" w:rsidP="00DA04AB">
      <w:pPr>
        <w:pStyle w:val="ListParagraph"/>
        <w:numPr>
          <w:ilvl w:val="0"/>
          <w:numId w:val="1"/>
        </w:numPr>
      </w:pPr>
      <w:r>
        <w:t>§1053 (Section 3 of the Lanham Act). Service marks registrable</w:t>
      </w:r>
    </w:p>
    <w:p w:rsidR="00DA04AB" w:rsidRDefault="00DA04AB" w:rsidP="00DA04AB">
      <w:pPr>
        <w:pStyle w:val="ListParagraph"/>
        <w:numPr>
          <w:ilvl w:val="0"/>
          <w:numId w:val="1"/>
        </w:numPr>
      </w:pPr>
      <w:r>
        <w:t>§1054 (Section 4 of the Lanham Act). Collective marks and certification marks registrable</w:t>
      </w:r>
    </w:p>
    <w:p w:rsidR="00DA04AB" w:rsidRDefault="00DA04AB" w:rsidP="00DA04AB">
      <w:pPr>
        <w:pStyle w:val="ListParagraph"/>
        <w:numPr>
          <w:ilvl w:val="0"/>
          <w:numId w:val="1"/>
        </w:numPr>
      </w:pPr>
      <w:r>
        <w:t>§1055 (Section 5 of the Lanham Act). Use by related companies affecting validity and registration</w:t>
      </w:r>
    </w:p>
    <w:p w:rsidR="00DA04AB" w:rsidRDefault="00DA04AB" w:rsidP="00DA04AB">
      <w:pPr>
        <w:pStyle w:val="ListParagraph"/>
        <w:numPr>
          <w:ilvl w:val="0"/>
          <w:numId w:val="1"/>
        </w:numPr>
      </w:pPr>
      <w:r>
        <w:t xml:space="preserve">§1056 (Section 6 of the Lanham Act). Disclaimer of </w:t>
      </w:r>
      <w:proofErr w:type="spellStart"/>
      <w:r>
        <w:t>unregistrable</w:t>
      </w:r>
      <w:proofErr w:type="spellEnd"/>
      <w:r>
        <w:t xml:space="preserve"> matter</w:t>
      </w:r>
    </w:p>
    <w:p w:rsidR="00DA04AB" w:rsidRDefault="00DA04AB" w:rsidP="00DA04AB">
      <w:pPr>
        <w:pStyle w:val="ListParagraph"/>
        <w:numPr>
          <w:ilvl w:val="0"/>
          <w:numId w:val="1"/>
        </w:numPr>
      </w:pPr>
      <w:r>
        <w:t>§1057 (Section 7 of the Lanham Act). Certificates of registration</w:t>
      </w:r>
    </w:p>
    <w:p w:rsidR="00DA04AB" w:rsidRDefault="00DA04AB" w:rsidP="00DA04AB">
      <w:pPr>
        <w:pStyle w:val="ListParagraph"/>
        <w:numPr>
          <w:ilvl w:val="0"/>
          <w:numId w:val="1"/>
        </w:numPr>
      </w:pPr>
      <w:r>
        <w:t>§1058 (Section 8 of the Lanham Act). Duration, affidavits and fees</w:t>
      </w:r>
    </w:p>
    <w:p w:rsidR="00DA04AB" w:rsidRDefault="00DA04AB" w:rsidP="00DA04AB">
      <w:pPr>
        <w:pStyle w:val="ListParagraph"/>
        <w:numPr>
          <w:ilvl w:val="0"/>
          <w:numId w:val="1"/>
        </w:numPr>
      </w:pPr>
      <w:r>
        <w:t>§1059 (Section 9 of the Lanham Act). Renewal of registration</w:t>
      </w:r>
    </w:p>
    <w:p w:rsidR="00DA04AB" w:rsidRDefault="00DA04AB" w:rsidP="00DA04AB">
      <w:pPr>
        <w:pStyle w:val="ListParagraph"/>
        <w:numPr>
          <w:ilvl w:val="0"/>
          <w:numId w:val="1"/>
        </w:numPr>
      </w:pPr>
      <w:r>
        <w:t>§1060 (Section 10 of the Lanham Act). Assignment</w:t>
      </w:r>
    </w:p>
    <w:p w:rsidR="00DA04AB" w:rsidRDefault="00DA04AB" w:rsidP="00DA04AB">
      <w:pPr>
        <w:pStyle w:val="ListParagraph"/>
        <w:numPr>
          <w:ilvl w:val="0"/>
          <w:numId w:val="1"/>
        </w:numPr>
      </w:pPr>
      <w:r>
        <w:t>§1061 (Section 11 of the Lanham Act). Execution of acknowledgments and verifications</w:t>
      </w:r>
    </w:p>
    <w:p w:rsidR="00DA04AB" w:rsidRDefault="00DA04AB" w:rsidP="00DA04AB">
      <w:pPr>
        <w:pStyle w:val="ListParagraph"/>
        <w:numPr>
          <w:ilvl w:val="0"/>
          <w:numId w:val="1"/>
        </w:numPr>
      </w:pPr>
      <w:r>
        <w:t>§1062 (Section 12 of the Lanham Act). Publication</w:t>
      </w:r>
    </w:p>
    <w:p w:rsidR="00DA04AB" w:rsidRDefault="00DA04AB" w:rsidP="00DA04AB">
      <w:pPr>
        <w:pStyle w:val="ListParagraph"/>
        <w:numPr>
          <w:ilvl w:val="0"/>
          <w:numId w:val="1"/>
        </w:numPr>
      </w:pPr>
      <w:r>
        <w:t>§1063 (Section 13 of the Lanham Act). Opposition to registration</w:t>
      </w:r>
    </w:p>
    <w:p w:rsidR="00DA04AB" w:rsidRDefault="00DA04AB" w:rsidP="00DA04AB">
      <w:pPr>
        <w:pStyle w:val="ListParagraph"/>
        <w:numPr>
          <w:ilvl w:val="0"/>
          <w:numId w:val="1"/>
        </w:numPr>
      </w:pPr>
      <w:r>
        <w:t>§1064 (Section 14 of the Lanham Act). Cancellation of registration</w:t>
      </w:r>
    </w:p>
    <w:p w:rsidR="00DA04AB" w:rsidRDefault="00DA04AB" w:rsidP="00DA04AB">
      <w:pPr>
        <w:pStyle w:val="ListParagraph"/>
        <w:numPr>
          <w:ilvl w:val="0"/>
          <w:numId w:val="1"/>
        </w:numPr>
      </w:pPr>
      <w:r>
        <w:t>§1065 (Section 15 of the Lanham Act). Incontestability of right to use mark under certain conditions</w:t>
      </w:r>
    </w:p>
    <w:p w:rsidR="00DA04AB" w:rsidRDefault="00DA04AB" w:rsidP="00DA04AB">
      <w:pPr>
        <w:pStyle w:val="ListParagraph"/>
        <w:numPr>
          <w:ilvl w:val="0"/>
          <w:numId w:val="1"/>
        </w:numPr>
      </w:pPr>
      <w:r>
        <w:t>§1066 (Section 16 of the Lanham Act). Interference; declaration by Director</w:t>
      </w:r>
    </w:p>
    <w:p w:rsidR="00DA04AB" w:rsidRDefault="00DA04AB" w:rsidP="00DA04AB">
      <w:pPr>
        <w:pStyle w:val="ListParagraph"/>
        <w:numPr>
          <w:ilvl w:val="0"/>
          <w:numId w:val="1"/>
        </w:numPr>
      </w:pPr>
      <w:r>
        <w:t>§1067 (Section 17 of the Lanham Act). Interference, opposition, and proceedings for concurrent use registration or for cancellation; notice; Trademark Trial and Appeal Board</w:t>
      </w:r>
    </w:p>
    <w:p w:rsidR="00DA04AB" w:rsidRDefault="00DA04AB" w:rsidP="00DA04AB">
      <w:pPr>
        <w:pStyle w:val="ListParagraph"/>
        <w:numPr>
          <w:ilvl w:val="0"/>
          <w:numId w:val="1"/>
        </w:numPr>
      </w:pPr>
      <w:r>
        <w:t>§1068 (Section 18 of the Lanham Act). Action of Director in interference, opposition, and proceedings for concurrent use registration or for cancellation</w:t>
      </w:r>
    </w:p>
    <w:p w:rsidR="00DA04AB" w:rsidRDefault="00DA04AB" w:rsidP="00DA04AB">
      <w:pPr>
        <w:pStyle w:val="ListParagraph"/>
        <w:numPr>
          <w:ilvl w:val="0"/>
          <w:numId w:val="1"/>
        </w:numPr>
      </w:pPr>
      <w:r>
        <w:t xml:space="preserve">§1069 (Section 19 of the Lanham Act). Application of equitable principles in inter </w:t>
      </w:r>
      <w:proofErr w:type="spellStart"/>
      <w:r>
        <w:t>partes</w:t>
      </w:r>
      <w:proofErr w:type="spellEnd"/>
      <w:r>
        <w:t xml:space="preserve"> proceedings</w:t>
      </w:r>
    </w:p>
    <w:p w:rsidR="00DA04AB" w:rsidRDefault="00DA04AB" w:rsidP="00DA04AB">
      <w:pPr>
        <w:pStyle w:val="ListParagraph"/>
        <w:numPr>
          <w:ilvl w:val="0"/>
          <w:numId w:val="1"/>
        </w:numPr>
      </w:pPr>
      <w:r>
        <w:t>§1070 (Section 20 of the Lanham Act). Appeals to Trademark Trial and Appeal Board from decisions of examiners</w:t>
      </w:r>
    </w:p>
    <w:p w:rsidR="00DA04AB" w:rsidRDefault="00DA04AB" w:rsidP="00DA04AB">
      <w:pPr>
        <w:pStyle w:val="ListParagraph"/>
        <w:numPr>
          <w:ilvl w:val="0"/>
          <w:numId w:val="1"/>
        </w:numPr>
      </w:pPr>
      <w:r>
        <w:t>§1071 (Section 21 of the Lanham Act). Appeal to courts</w:t>
      </w:r>
    </w:p>
    <w:p w:rsidR="00920FFB" w:rsidRDefault="00DA04AB" w:rsidP="00DA04AB">
      <w:pPr>
        <w:pStyle w:val="ListParagraph"/>
        <w:numPr>
          <w:ilvl w:val="0"/>
          <w:numId w:val="1"/>
        </w:numPr>
      </w:pPr>
      <w:r>
        <w:t>§1072 (Section 22 of the Lanham Act). Registration as constructive notice of claim of ownership</w:t>
      </w:r>
    </w:p>
    <w:p w:rsidR="00DA04AB" w:rsidRDefault="00DA04AB" w:rsidP="00DA04AB"/>
    <w:p w:rsidR="00DA04AB" w:rsidRPr="00DA04AB" w:rsidRDefault="00DA04AB" w:rsidP="00DA04AB">
      <w:pPr>
        <w:ind w:firstLine="0"/>
        <w:rPr>
          <w:b/>
        </w:rPr>
      </w:pPr>
      <w:r w:rsidRPr="00DA04AB">
        <w:rPr>
          <w:b/>
        </w:rPr>
        <w:t>Subchapter II - The Supplemental Register</w:t>
      </w:r>
    </w:p>
    <w:p w:rsidR="00DA04AB" w:rsidRDefault="00DA04AB" w:rsidP="00DA04AB">
      <w:pPr>
        <w:pStyle w:val="ListParagraph"/>
        <w:numPr>
          <w:ilvl w:val="0"/>
          <w:numId w:val="2"/>
        </w:numPr>
      </w:pPr>
      <w:r>
        <w:t>§1091 (Section 23 of the Lanham Act). Supplemental register</w:t>
      </w:r>
    </w:p>
    <w:p w:rsidR="00DA04AB" w:rsidRDefault="00DA04AB" w:rsidP="00DA04AB">
      <w:pPr>
        <w:pStyle w:val="ListParagraph"/>
        <w:numPr>
          <w:ilvl w:val="0"/>
          <w:numId w:val="2"/>
        </w:numPr>
      </w:pPr>
      <w:r>
        <w:t>§1092 (Section 24 of the Lanham Act). Publication; not subject to opposition; cancellation</w:t>
      </w:r>
    </w:p>
    <w:p w:rsidR="00DA04AB" w:rsidRDefault="00DA04AB" w:rsidP="00DA04AB">
      <w:pPr>
        <w:pStyle w:val="ListParagraph"/>
        <w:numPr>
          <w:ilvl w:val="0"/>
          <w:numId w:val="2"/>
        </w:numPr>
      </w:pPr>
      <w:r>
        <w:t>§1093 (Section 25 of the Lanham Act). Registration certificates for marks on principal and supplemental registers to be different</w:t>
      </w:r>
    </w:p>
    <w:p w:rsidR="00DA04AB" w:rsidRDefault="00DA04AB" w:rsidP="00DA04AB">
      <w:pPr>
        <w:pStyle w:val="ListParagraph"/>
        <w:numPr>
          <w:ilvl w:val="0"/>
          <w:numId w:val="2"/>
        </w:numPr>
      </w:pPr>
      <w:r>
        <w:t>§1094 (Section 26 of the Lanham Act). Provisions of chapter applicable to registrations on supplemental register</w:t>
      </w:r>
    </w:p>
    <w:p w:rsidR="00DA04AB" w:rsidRDefault="00DA04AB" w:rsidP="00DA04AB">
      <w:pPr>
        <w:pStyle w:val="ListParagraph"/>
        <w:numPr>
          <w:ilvl w:val="0"/>
          <w:numId w:val="2"/>
        </w:numPr>
      </w:pPr>
      <w:r>
        <w:lastRenderedPageBreak/>
        <w:t>§1095 (Section 27 of the Lanham Act). Registration on principal register not precluded</w:t>
      </w:r>
    </w:p>
    <w:p w:rsidR="00DA04AB" w:rsidRDefault="00DA04AB" w:rsidP="00DA04AB">
      <w:pPr>
        <w:pStyle w:val="ListParagraph"/>
        <w:numPr>
          <w:ilvl w:val="0"/>
          <w:numId w:val="2"/>
        </w:numPr>
      </w:pPr>
      <w:r>
        <w:t>§1096 (Section 28 of the Lanham Act). Registration on supplemental register not used to stop importations</w:t>
      </w:r>
    </w:p>
    <w:p w:rsidR="00DA04AB" w:rsidRDefault="00DA04AB" w:rsidP="00DA04AB"/>
    <w:p w:rsidR="00DA04AB" w:rsidRPr="00DA04AB" w:rsidRDefault="00DA04AB" w:rsidP="00DA04AB">
      <w:pPr>
        <w:ind w:firstLine="0"/>
        <w:rPr>
          <w:b/>
        </w:rPr>
      </w:pPr>
      <w:r w:rsidRPr="00DA04AB">
        <w:rPr>
          <w:b/>
        </w:rPr>
        <w:t>Subchapter III - General Provisions</w:t>
      </w:r>
    </w:p>
    <w:p w:rsidR="00DA04AB" w:rsidRDefault="00DA04AB" w:rsidP="00DA04AB"/>
    <w:p w:rsidR="00DA04AB" w:rsidRDefault="00DA04AB" w:rsidP="00DA04AB">
      <w:pPr>
        <w:pStyle w:val="ListParagraph"/>
        <w:numPr>
          <w:ilvl w:val="0"/>
          <w:numId w:val="3"/>
        </w:numPr>
      </w:pPr>
      <w:r>
        <w:t>§1111 (Section 29 of the Lanham Act). Notice of registration; display with mark; recovery of profits and damages in infringement suit</w:t>
      </w:r>
    </w:p>
    <w:p w:rsidR="00DA04AB" w:rsidRDefault="00DA04AB" w:rsidP="00DA04AB">
      <w:pPr>
        <w:pStyle w:val="ListParagraph"/>
        <w:numPr>
          <w:ilvl w:val="0"/>
          <w:numId w:val="3"/>
        </w:numPr>
      </w:pPr>
      <w:r>
        <w:t>§1112 (Section 30 of the Lanham Act). Classification of goods and services; registration in plurality of classes</w:t>
      </w:r>
    </w:p>
    <w:p w:rsidR="00DA04AB" w:rsidRDefault="00DA04AB" w:rsidP="00DA04AB">
      <w:pPr>
        <w:pStyle w:val="ListParagraph"/>
        <w:numPr>
          <w:ilvl w:val="0"/>
          <w:numId w:val="3"/>
        </w:numPr>
      </w:pPr>
      <w:r>
        <w:t>§1113 (Section 31 of the Lanham Act). Fees</w:t>
      </w:r>
    </w:p>
    <w:p w:rsidR="00DA04AB" w:rsidRDefault="00DA04AB" w:rsidP="00DA04AB">
      <w:pPr>
        <w:pStyle w:val="ListParagraph"/>
        <w:numPr>
          <w:ilvl w:val="0"/>
          <w:numId w:val="3"/>
        </w:numPr>
      </w:pPr>
      <w:r>
        <w:t>§1114 (Section 32 of the Lanham Act). Remedies; infringement; innocent infringement by printers and publishers</w:t>
      </w:r>
    </w:p>
    <w:p w:rsidR="00DA04AB" w:rsidRDefault="00DA04AB" w:rsidP="00DA04AB">
      <w:pPr>
        <w:pStyle w:val="ListParagraph"/>
        <w:numPr>
          <w:ilvl w:val="0"/>
          <w:numId w:val="3"/>
        </w:numPr>
      </w:pPr>
      <w:r>
        <w:t>§1115 (Section 33 of the Lanham Act). Registration on principal register as evidence of exclusive right to use mark; defenses</w:t>
      </w:r>
    </w:p>
    <w:p w:rsidR="00DA04AB" w:rsidRDefault="00DA04AB" w:rsidP="00DA04AB">
      <w:pPr>
        <w:pStyle w:val="ListParagraph"/>
        <w:numPr>
          <w:ilvl w:val="0"/>
          <w:numId w:val="3"/>
        </w:numPr>
      </w:pPr>
      <w:r>
        <w:t>§1116 (Section 34 of the Lanham Act). Injunctive relief</w:t>
      </w:r>
    </w:p>
    <w:p w:rsidR="00DA04AB" w:rsidRDefault="00DA04AB" w:rsidP="00DA04AB">
      <w:pPr>
        <w:pStyle w:val="ListParagraph"/>
        <w:numPr>
          <w:ilvl w:val="0"/>
          <w:numId w:val="3"/>
        </w:numPr>
      </w:pPr>
      <w:r>
        <w:t>§1117 (Section 35 of the Lanham Act). Recovery for violation of rights</w:t>
      </w:r>
    </w:p>
    <w:p w:rsidR="00DA04AB" w:rsidRDefault="00DA04AB" w:rsidP="00DA04AB">
      <w:pPr>
        <w:pStyle w:val="ListParagraph"/>
        <w:numPr>
          <w:ilvl w:val="0"/>
          <w:numId w:val="3"/>
        </w:numPr>
      </w:pPr>
      <w:r>
        <w:t>§1118 (Section 36 of the Lanham Act). Destruction of infringing articles</w:t>
      </w:r>
    </w:p>
    <w:p w:rsidR="00DA04AB" w:rsidRDefault="00DA04AB" w:rsidP="00DA04AB">
      <w:pPr>
        <w:pStyle w:val="ListParagraph"/>
        <w:numPr>
          <w:ilvl w:val="0"/>
          <w:numId w:val="3"/>
        </w:numPr>
      </w:pPr>
      <w:r>
        <w:t>§1119 (Section 37 of the Lanham Act). Power of court over registration</w:t>
      </w:r>
    </w:p>
    <w:p w:rsidR="00DA04AB" w:rsidRDefault="00DA04AB" w:rsidP="00DA04AB">
      <w:pPr>
        <w:pStyle w:val="ListParagraph"/>
        <w:numPr>
          <w:ilvl w:val="0"/>
          <w:numId w:val="3"/>
        </w:numPr>
      </w:pPr>
      <w:r>
        <w:t>§1120 (Section 38 of the Lanham Act). Civil liability for false or fraudulent registration</w:t>
      </w:r>
    </w:p>
    <w:p w:rsidR="00DA04AB" w:rsidRDefault="00DA04AB" w:rsidP="00DA04AB">
      <w:pPr>
        <w:pStyle w:val="ListParagraph"/>
        <w:numPr>
          <w:ilvl w:val="0"/>
          <w:numId w:val="3"/>
        </w:numPr>
      </w:pPr>
      <w:r>
        <w:t>§1121 (Section 39 of the Lanham Act). Jurisdiction of Federal courts; State and local requirements that registered trademarks be altered or displayed differently; prohibition</w:t>
      </w:r>
    </w:p>
    <w:p w:rsidR="00DA04AB" w:rsidRDefault="00DA04AB" w:rsidP="00DA04AB">
      <w:pPr>
        <w:pStyle w:val="ListParagraph"/>
        <w:numPr>
          <w:ilvl w:val="0"/>
          <w:numId w:val="3"/>
        </w:numPr>
      </w:pPr>
      <w:r>
        <w:t>§1121a . Transferred</w:t>
      </w:r>
    </w:p>
    <w:p w:rsidR="00DA04AB" w:rsidRDefault="00DA04AB" w:rsidP="00DA04AB">
      <w:pPr>
        <w:pStyle w:val="ListParagraph"/>
        <w:numPr>
          <w:ilvl w:val="0"/>
          <w:numId w:val="3"/>
        </w:numPr>
      </w:pPr>
      <w:r>
        <w:t>§1122 (Section 40 of the Lanham Act). Liability of United States and States, and instrumentalities and officials thereof</w:t>
      </w:r>
    </w:p>
    <w:p w:rsidR="00DA04AB" w:rsidRDefault="00DA04AB" w:rsidP="00DA04AB">
      <w:pPr>
        <w:pStyle w:val="ListParagraph"/>
        <w:numPr>
          <w:ilvl w:val="0"/>
          <w:numId w:val="3"/>
        </w:numPr>
      </w:pPr>
      <w:r>
        <w:t>§1123 (Section 41 of the Lanham Act). Rules and regulations for conduct of proceedings in Patent and Trademark Office</w:t>
      </w:r>
    </w:p>
    <w:p w:rsidR="00DA04AB" w:rsidRDefault="00DA04AB" w:rsidP="00DA04AB">
      <w:pPr>
        <w:pStyle w:val="ListParagraph"/>
        <w:numPr>
          <w:ilvl w:val="0"/>
          <w:numId w:val="3"/>
        </w:numPr>
      </w:pPr>
      <w:r>
        <w:t>§1124 (Section 42 of the Lanham Act). Importation of goods bearing infringing marks or names forbidden</w:t>
      </w:r>
    </w:p>
    <w:p w:rsidR="00DA04AB" w:rsidRDefault="00DA04AB" w:rsidP="00DA04AB">
      <w:pPr>
        <w:pStyle w:val="ListParagraph"/>
        <w:numPr>
          <w:ilvl w:val="0"/>
          <w:numId w:val="3"/>
        </w:numPr>
      </w:pPr>
      <w:r>
        <w:t>§1125 (Section 43 of the Lanham Act). False designations of origin, false descriptions, and dilution forbidden</w:t>
      </w:r>
    </w:p>
    <w:p w:rsidR="00DA04AB" w:rsidRDefault="00DA04AB" w:rsidP="00DA04AB">
      <w:pPr>
        <w:pStyle w:val="ListParagraph"/>
        <w:numPr>
          <w:ilvl w:val="0"/>
          <w:numId w:val="3"/>
        </w:numPr>
      </w:pPr>
      <w:r>
        <w:t>§1126 (Section 44 of the Lanham Act). International conventions</w:t>
      </w:r>
    </w:p>
    <w:p w:rsidR="00DA04AB" w:rsidRDefault="00DA04AB" w:rsidP="00DA04AB">
      <w:pPr>
        <w:pStyle w:val="ListParagraph"/>
        <w:numPr>
          <w:ilvl w:val="0"/>
          <w:numId w:val="3"/>
        </w:numPr>
      </w:pPr>
      <w:r>
        <w:t>§1127 (Section 45 of the Lanham Act). Construction and definitions; intent of chapter</w:t>
      </w:r>
    </w:p>
    <w:p w:rsidR="00DA04AB" w:rsidRDefault="00DA04AB" w:rsidP="00DA04AB">
      <w:pPr>
        <w:pStyle w:val="ListParagraph"/>
        <w:numPr>
          <w:ilvl w:val="0"/>
          <w:numId w:val="3"/>
        </w:numPr>
      </w:pPr>
      <w:r>
        <w:t>§1128. Repealed</w:t>
      </w:r>
    </w:p>
    <w:p w:rsidR="00DA04AB" w:rsidRDefault="00DA04AB" w:rsidP="00DA04AB">
      <w:pPr>
        <w:pStyle w:val="ListParagraph"/>
        <w:numPr>
          <w:ilvl w:val="0"/>
          <w:numId w:val="3"/>
        </w:numPr>
      </w:pPr>
      <w:r>
        <w:t>§1129. Transferred</w:t>
      </w:r>
    </w:p>
    <w:p w:rsidR="00DA04AB" w:rsidRDefault="00DA04AB" w:rsidP="00DA04AB"/>
    <w:p w:rsidR="00DA04AB" w:rsidRPr="00DA04AB" w:rsidRDefault="00DA04AB" w:rsidP="00DA04AB">
      <w:pPr>
        <w:ind w:firstLine="0"/>
        <w:rPr>
          <w:b/>
        </w:rPr>
      </w:pPr>
      <w:r w:rsidRPr="00DA04AB">
        <w:rPr>
          <w:b/>
        </w:rPr>
        <w:t>Subchapter IV - The Madrid Protocol</w:t>
      </w:r>
    </w:p>
    <w:p w:rsidR="00DA04AB" w:rsidRDefault="00DA04AB" w:rsidP="00DA04AB"/>
    <w:p w:rsidR="00DA04AB" w:rsidRDefault="00DA04AB" w:rsidP="00DA04AB">
      <w:pPr>
        <w:pStyle w:val="ListParagraph"/>
        <w:numPr>
          <w:ilvl w:val="0"/>
          <w:numId w:val="4"/>
        </w:numPr>
      </w:pPr>
      <w:r>
        <w:t>§1141. Definitions</w:t>
      </w:r>
    </w:p>
    <w:p w:rsidR="00DA04AB" w:rsidRDefault="00DA04AB" w:rsidP="00DA04AB">
      <w:pPr>
        <w:pStyle w:val="ListParagraph"/>
        <w:numPr>
          <w:ilvl w:val="0"/>
          <w:numId w:val="4"/>
        </w:numPr>
      </w:pPr>
      <w:r>
        <w:t>§1141a. International applications based on United States applications or registrations</w:t>
      </w:r>
    </w:p>
    <w:p w:rsidR="00DA04AB" w:rsidRDefault="00DA04AB" w:rsidP="00DA04AB">
      <w:pPr>
        <w:pStyle w:val="ListParagraph"/>
        <w:numPr>
          <w:ilvl w:val="0"/>
          <w:numId w:val="4"/>
        </w:numPr>
      </w:pPr>
      <w:r>
        <w:t>§1141b. Certification of the international application</w:t>
      </w:r>
    </w:p>
    <w:p w:rsidR="00DA04AB" w:rsidRDefault="00DA04AB" w:rsidP="00DA04AB">
      <w:pPr>
        <w:pStyle w:val="ListParagraph"/>
        <w:numPr>
          <w:ilvl w:val="0"/>
          <w:numId w:val="4"/>
        </w:numPr>
      </w:pPr>
      <w:r>
        <w:t>§1141c. Restriction, abandonment, cancellation, or expiration of a basic application or basic registration</w:t>
      </w:r>
    </w:p>
    <w:p w:rsidR="00DA04AB" w:rsidRDefault="00DA04AB" w:rsidP="00DA04AB">
      <w:pPr>
        <w:pStyle w:val="ListParagraph"/>
        <w:numPr>
          <w:ilvl w:val="0"/>
          <w:numId w:val="4"/>
        </w:numPr>
      </w:pPr>
      <w:r>
        <w:t>§1141d. Request for extension of protection subsequent to international registration</w:t>
      </w:r>
    </w:p>
    <w:p w:rsidR="00DA04AB" w:rsidRDefault="00DA04AB" w:rsidP="00DA04AB">
      <w:pPr>
        <w:pStyle w:val="ListParagraph"/>
        <w:numPr>
          <w:ilvl w:val="0"/>
          <w:numId w:val="4"/>
        </w:numPr>
      </w:pPr>
      <w:r>
        <w:lastRenderedPageBreak/>
        <w:t>§1141e. Extension of protection of an international registration to the United States under the Madrid Protocol</w:t>
      </w:r>
    </w:p>
    <w:p w:rsidR="00DA04AB" w:rsidRDefault="00DA04AB" w:rsidP="00DA04AB">
      <w:pPr>
        <w:pStyle w:val="ListParagraph"/>
        <w:numPr>
          <w:ilvl w:val="0"/>
          <w:numId w:val="4"/>
        </w:numPr>
      </w:pPr>
      <w:r>
        <w:t>§1141f. Effect of filing a request for extension of protection of an international registration to the United States</w:t>
      </w:r>
    </w:p>
    <w:p w:rsidR="00DA04AB" w:rsidRDefault="00DA04AB" w:rsidP="00DA04AB">
      <w:pPr>
        <w:pStyle w:val="ListParagraph"/>
        <w:numPr>
          <w:ilvl w:val="0"/>
          <w:numId w:val="4"/>
        </w:numPr>
      </w:pPr>
      <w:r>
        <w:t>§1141g. Right of priority for request for extension of protection to the United States</w:t>
      </w:r>
    </w:p>
    <w:p w:rsidR="00DA04AB" w:rsidRDefault="00DA04AB" w:rsidP="00DA04AB">
      <w:pPr>
        <w:pStyle w:val="ListParagraph"/>
        <w:numPr>
          <w:ilvl w:val="0"/>
          <w:numId w:val="4"/>
        </w:numPr>
      </w:pPr>
      <w:r>
        <w:t>§1141h. Examination of and opposition to request for extension of protection; notification of refusal</w:t>
      </w:r>
    </w:p>
    <w:p w:rsidR="00DA04AB" w:rsidRDefault="00DA04AB" w:rsidP="00DA04AB">
      <w:pPr>
        <w:pStyle w:val="ListParagraph"/>
        <w:numPr>
          <w:ilvl w:val="0"/>
          <w:numId w:val="4"/>
        </w:numPr>
      </w:pPr>
      <w:r>
        <w:t>§1141i. Effect of extension of protection</w:t>
      </w:r>
    </w:p>
    <w:p w:rsidR="00DA04AB" w:rsidRDefault="00DA04AB" w:rsidP="00DA04AB">
      <w:pPr>
        <w:pStyle w:val="ListParagraph"/>
        <w:numPr>
          <w:ilvl w:val="0"/>
          <w:numId w:val="4"/>
        </w:numPr>
      </w:pPr>
      <w:r>
        <w:t>§1141j. Dependence of extension of protection to the United States on the underlying international registration</w:t>
      </w:r>
    </w:p>
    <w:p w:rsidR="00DA04AB" w:rsidRDefault="00DA04AB" w:rsidP="00DA04AB">
      <w:pPr>
        <w:pStyle w:val="ListParagraph"/>
        <w:numPr>
          <w:ilvl w:val="0"/>
          <w:numId w:val="4"/>
        </w:numPr>
      </w:pPr>
      <w:r>
        <w:t>§1141k. Duration, affidavits and fees</w:t>
      </w:r>
    </w:p>
    <w:p w:rsidR="00DA04AB" w:rsidRDefault="00DA04AB" w:rsidP="00DA04AB">
      <w:pPr>
        <w:pStyle w:val="ListParagraph"/>
        <w:numPr>
          <w:ilvl w:val="0"/>
          <w:numId w:val="4"/>
        </w:numPr>
      </w:pPr>
      <w:r>
        <w:t>§1141l. Assignment of an extension of protection</w:t>
      </w:r>
    </w:p>
    <w:p w:rsidR="00DA04AB" w:rsidRDefault="00DA04AB" w:rsidP="00DA04AB">
      <w:pPr>
        <w:pStyle w:val="ListParagraph"/>
        <w:numPr>
          <w:ilvl w:val="0"/>
          <w:numId w:val="4"/>
        </w:numPr>
      </w:pPr>
      <w:r>
        <w:t>§1141m. Incontestability</w:t>
      </w:r>
    </w:p>
    <w:p w:rsidR="00DA04AB" w:rsidRDefault="00DA04AB" w:rsidP="00DA04AB">
      <w:pPr>
        <w:pStyle w:val="ListParagraph"/>
        <w:numPr>
          <w:ilvl w:val="0"/>
          <w:numId w:val="4"/>
        </w:numPr>
      </w:pPr>
      <w:r>
        <w:t>§1141n. Rights of extension of protection</w:t>
      </w:r>
    </w:p>
    <w:p w:rsidR="00DA04AB" w:rsidRDefault="00DA04AB" w:rsidP="00DA04AB"/>
    <w:sectPr w:rsidR="00DA04A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27" w:rsidRDefault="00384827" w:rsidP="00DA04AB">
      <w:pPr>
        <w:spacing w:line="240" w:lineRule="auto"/>
      </w:pPr>
      <w:r>
        <w:separator/>
      </w:r>
    </w:p>
  </w:endnote>
  <w:endnote w:type="continuationSeparator" w:id="0">
    <w:p w:rsidR="00384827" w:rsidRDefault="00384827" w:rsidP="00DA04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623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04AB" w:rsidRDefault="00DA04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D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04AB" w:rsidRDefault="00DA04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27" w:rsidRDefault="00384827" w:rsidP="00DA04AB">
      <w:pPr>
        <w:spacing w:line="240" w:lineRule="auto"/>
      </w:pPr>
      <w:r>
        <w:separator/>
      </w:r>
    </w:p>
  </w:footnote>
  <w:footnote w:type="continuationSeparator" w:id="0">
    <w:p w:rsidR="00384827" w:rsidRDefault="00384827" w:rsidP="00DA04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3782"/>
    <w:multiLevelType w:val="hybridMultilevel"/>
    <w:tmpl w:val="74C2A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166BBC"/>
    <w:multiLevelType w:val="hybridMultilevel"/>
    <w:tmpl w:val="D910D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151476"/>
    <w:multiLevelType w:val="hybridMultilevel"/>
    <w:tmpl w:val="487E9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EB188D"/>
    <w:multiLevelType w:val="hybridMultilevel"/>
    <w:tmpl w:val="0EE0F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AB"/>
    <w:rsid w:val="000E4C27"/>
    <w:rsid w:val="00384827"/>
    <w:rsid w:val="00920FFB"/>
    <w:rsid w:val="00C2795E"/>
    <w:rsid w:val="00CD6D9C"/>
    <w:rsid w:val="00DA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1FE82-7CBB-4383-A9F9-2C92793A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HAnsi"/>
        <w:sz w:val="22"/>
        <w:szCs w:val="22"/>
        <w:lang w:val="en-US" w:eastAsia="en-US" w:bidi="ar-SA"/>
      </w:rPr>
    </w:rPrDefault>
    <w:pPrDefault>
      <w:pPr>
        <w:spacing w:line="259" w:lineRule="auto"/>
        <w:ind w:firstLine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4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4AB"/>
  </w:style>
  <w:style w:type="paragraph" w:styleId="Footer">
    <w:name w:val="footer"/>
    <w:basedOn w:val="Normal"/>
    <w:link w:val="FooterChar"/>
    <w:uiPriority w:val="99"/>
    <w:unhideWhenUsed/>
    <w:rsid w:val="00DA04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7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4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 Beebe</dc:creator>
  <cp:keywords/>
  <dc:description/>
  <cp:lastModifiedBy>Barton Beebe</cp:lastModifiedBy>
  <cp:revision>2</cp:revision>
  <cp:lastPrinted>2018-08-17T17:57:00Z</cp:lastPrinted>
  <dcterms:created xsi:type="dcterms:W3CDTF">2018-08-17T17:52:00Z</dcterms:created>
  <dcterms:modified xsi:type="dcterms:W3CDTF">2018-08-17T17:59:00Z</dcterms:modified>
</cp:coreProperties>
</file>