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A8979" w14:textId="77777777" w:rsidR="00826F4B" w:rsidRDefault="00826F4B" w:rsidP="00826F4B">
      <w:pPr>
        <w:rPr>
          <w:b/>
        </w:rPr>
      </w:pPr>
      <w:r>
        <w:rPr>
          <w:b/>
        </w:rPr>
        <w:t>Trademark &amp; Unfair Competition Law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BU School of Law</w:t>
      </w:r>
    </w:p>
    <w:p w14:paraId="46088AD9" w14:textId="77777777" w:rsidR="00826F4B" w:rsidRPr="00B25EFF" w:rsidRDefault="00551832" w:rsidP="00826F4B">
      <w:pPr>
        <w:rPr>
          <w:b/>
        </w:rPr>
      </w:pPr>
      <w:r>
        <w:rPr>
          <w:b/>
        </w:rPr>
        <w:t xml:space="preserve">Prof. </w:t>
      </w:r>
      <w:r w:rsidR="00B25EFF">
        <w:rPr>
          <w:b/>
        </w:rPr>
        <w:t>Stacey Dogan</w:t>
      </w:r>
      <w:r w:rsidR="00B25EFF">
        <w:rPr>
          <w:b/>
        </w:rPr>
        <w:tab/>
      </w:r>
      <w:r w:rsidR="00B25EFF">
        <w:rPr>
          <w:b/>
        </w:rPr>
        <w:tab/>
      </w:r>
      <w:r w:rsidR="00B25EFF">
        <w:rPr>
          <w:b/>
        </w:rPr>
        <w:tab/>
      </w:r>
      <w:r w:rsidR="00B25EFF">
        <w:rPr>
          <w:b/>
        </w:rPr>
        <w:tab/>
      </w:r>
      <w:r w:rsidR="00B25EFF">
        <w:rPr>
          <w:b/>
        </w:rPr>
        <w:tab/>
      </w:r>
      <w:r w:rsidR="00B25EFF">
        <w:rPr>
          <w:b/>
        </w:rPr>
        <w:tab/>
      </w:r>
      <w:r w:rsidR="00B25EFF">
        <w:rPr>
          <w:b/>
        </w:rPr>
        <w:tab/>
      </w:r>
      <w:r w:rsidR="00B25EFF">
        <w:rPr>
          <w:b/>
        </w:rPr>
        <w:tab/>
        <w:t>Fall 2014</w:t>
      </w:r>
    </w:p>
    <w:p w14:paraId="50C380E5" w14:textId="77777777" w:rsidR="00B25EFF" w:rsidRDefault="00B25EFF" w:rsidP="00826F4B">
      <w:pPr>
        <w:rPr>
          <w:u w:val="single"/>
        </w:rPr>
      </w:pPr>
    </w:p>
    <w:p w14:paraId="7734B7C4" w14:textId="77777777" w:rsidR="00826F4B" w:rsidRPr="005075E8" w:rsidRDefault="00826F4B" w:rsidP="00826F4B">
      <w:pPr>
        <w:rPr>
          <w:b/>
          <w:u w:val="single"/>
        </w:rPr>
      </w:pPr>
      <w:r w:rsidRPr="005075E8">
        <w:rPr>
          <w:b/>
          <w:u w:val="single"/>
        </w:rPr>
        <w:t>Administrative Matters</w:t>
      </w:r>
    </w:p>
    <w:p w14:paraId="2EF32CF6" w14:textId="032E9233" w:rsidR="00826F4B" w:rsidRPr="00497D45" w:rsidRDefault="00826F4B" w:rsidP="00497D45">
      <w:pPr>
        <w:pStyle w:val="BodyTextIndent3"/>
        <w:numPr>
          <w:ilvl w:val="0"/>
          <w:numId w:val="10"/>
        </w:numPr>
        <w:rPr>
          <w:b/>
        </w:rPr>
      </w:pPr>
      <w:r>
        <w:t xml:space="preserve">Class meets on Tuesdays and Thursdays, </w:t>
      </w:r>
      <w:r w:rsidR="00497D45">
        <w:t>10:45-12:10, in room 101</w:t>
      </w:r>
      <w:r>
        <w:t>.</w:t>
      </w:r>
      <w:r w:rsidR="00497D45">
        <w:t xml:space="preserve"> </w:t>
      </w:r>
      <w:r w:rsidRPr="00497D45">
        <w:rPr>
          <w:b/>
        </w:rPr>
        <w:t xml:space="preserve">We will not have class on </w:t>
      </w:r>
      <w:r w:rsidR="00551832" w:rsidRPr="00497D45">
        <w:rPr>
          <w:b/>
        </w:rPr>
        <w:t xml:space="preserve">Tues, Sept 2, </w:t>
      </w:r>
      <w:r w:rsidR="008E48FE" w:rsidRPr="00497D45">
        <w:rPr>
          <w:b/>
        </w:rPr>
        <w:t xml:space="preserve">Thurs, Sept 25, </w:t>
      </w:r>
      <w:r w:rsidR="00551832" w:rsidRPr="00497D45">
        <w:rPr>
          <w:b/>
        </w:rPr>
        <w:t>or Tues, Nov 18</w:t>
      </w:r>
      <w:r w:rsidRPr="00497D45">
        <w:rPr>
          <w:b/>
        </w:rPr>
        <w:t xml:space="preserve">.  </w:t>
      </w:r>
      <w:r w:rsidR="009D41C9" w:rsidRPr="00497D45">
        <w:rPr>
          <w:b/>
        </w:rPr>
        <w:t>Make-up</w:t>
      </w:r>
      <w:r w:rsidR="00497D45" w:rsidRPr="00497D45">
        <w:rPr>
          <w:b/>
        </w:rPr>
        <w:t>s will be held on the following Fridays, from 12:40-2:05 (note room changes):  9/19 in 211; 9/26 in 102</w:t>
      </w:r>
      <w:proofErr w:type="gramStart"/>
      <w:r w:rsidR="00497D45" w:rsidRPr="00497D45">
        <w:rPr>
          <w:b/>
        </w:rPr>
        <w:t>;</w:t>
      </w:r>
      <w:proofErr w:type="gramEnd"/>
      <w:r w:rsidR="00497D45" w:rsidRPr="00497D45">
        <w:rPr>
          <w:b/>
        </w:rPr>
        <w:t xml:space="preserve"> and 10/31 in 101</w:t>
      </w:r>
      <w:r w:rsidR="008E48FE" w:rsidRPr="00497D45">
        <w:rPr>
          <w:b/>
        </w:rPr>
        <w:t xml:space="preserve">.  </w:t>
      </w:r>
      <w:r w:rsidR="008E48FE" w:rsidRPr="008E48FE">
        <w:t>I will have all of these make-up classes recorded for those with an unavoidable conflict.</w:t>
      </w:r>
    </w:p>
    <w:p w14:paraId="2CAB624E" w14:textId="53CBE611" w:rsidR="00497D45" w:rsidRPr="00497D45" w:rsidRDefault="00497D45" w:rsidP="00497D45">
      <w:pPr>
        <w:pStyle w:val="BodyTextIndent3"/>
        <w:numPr>
          <w:ilvl w:val="0"/>
          <w:numId w:val="10"/>
        </w:numPr>
      </w:pPr>
      <w:r>
        <w:t xml:space="preserve">My office is room 304A at 910 Commonwealth Ave.  You can reach me at x3-3142 or </w:t>
      </w:r>
      <w:hyperlink r:id="rId8" w:history="1">
        <w:r w:rsidRPr="004C1DD8">
          <w:rPr>
            <w:rStyle w:val="Hyperlink"/>
          </w:rPr>
          <w:t>sdogan@bu.edu</w:t>
        </w:r>
      </w:hyperlink>
      <w:r>
        <w:t xml:space="preserve">.  Office hours will be after on Tuesdays, 12:30-2, in the Commons, or by appointment at an agreed-upon time and place.  </w:t>
      </w:r>
    </w:p>
    <w:p w14:paraId="42109982" w14:textId="77777777" w:rsidR="00826F4B" w:rsidRDefault="00826F4B" w:rsidP="00826F4B">
      <w:pPr>
        <w:pStyle w:val="Heading5"/>
      </w:pPr>
    </w:p>
    <w:p w14:paraId="11DDD64A" w14:textId="77777777" w:rsidR="00826F4B" w:rsidRPr="005075E8" w:rsidRDefault="00826F4B" w:rsidP="00826F4B">
      <w:pPr>
        <w:rPr>
          <w:b/>
          <w:u w:val="single"/>
        </w:rPr>
      </w:pPr>
      <w:r w:rsidRPr="005075E8">
        <w:rPr>
          <w:b/>
          <w:u w:val="single"/>
        </w:rPr>
        <w:t>Grading</w:t>
      </w:r>
    </w:p>
    <w:p w14:paraId="025C3F37" w14:textId="77777777" w:rsidR="00497D45" w:rsidRPr="00497D45" w:rsidRDefault="00826F4B" w:rsidP="00497D45">
      <w:pPr>
        <w:pStyle w:val="ListParagraph"/>
        <w:widowControl/>
        <w:numPr>
          <w:ilvl w:val="0"/>
          <w:numId w:val="11"/>
        </w:numPr>
        <w:rPr>
          <w:b/>
          <w:szCs w:val="24"/>
        </w:rPr>
      </w:pPr>
      <w:r>
        <w:t xml:space="preserve">Your grade will be based on your </w:t>
      </w:r>
      <w:r w:rsidRPr="00497D45">
        <w:rPr>
          <w:szCs w:val="24"/>
        </w:rPr>
        <w:t>performance on a 3-hour in-class exam.</w:t>
      </w:r>
    </w:p>
    <w:p w14:paraId="0431465A" w14:textId="07A27C9B" w:rsidR="00497D45" w:rsidRPr="00497D45" w:rsidRDefault="00826F4B" w:rsidP="00497D45">
      <w:pPr>
        <w:pStyle w:val="ListParagraph"/>
        <w:widowControl/>
        <w:numPr>
          <w:ilvl w:val="0"/>
          <w:numId w:val="11"/>
        </w:numPr>
        <w:rPr>
          <w:b/>
          <w:szCs w:val="24"/>
        </w:rPr>
      </w:pPr>
      <w:r w:rsidRPr="00497D45">
        <w:rPr>
          <w:color w:val="000000"/>
          <w:szCs w:val="24"/>
        </w:rPr>
        <w:t>I use a modified panel system, which I will explain in the first day of class.  Each stude</w:t>
      </w:r>
      <w:r w:rsidR="00DB6B3C" w:rsidRPr="00497D45">
        <w:rPr>
          <w:color w:val="000000"/>
          <w:szCs w:val="24"/>
        </w:rPr>
        <w:t xml:space="preserve">nt must sign up to be “on” for </w:t>
      </w:r>
      <w:r w:rsidR="00832855">
        <w:rPr>
          <w:color w:val="000000"/>
          <w:szCs w:val="24"/>
        </w:rPr>
        <w:t>4</w:t>
      </w:r>
      <w:r w:rsidR="00497D45">
        <w:rPr>
          <w:color w:val="000000"/>
          <w:szCs w:val="24"/>
        </w:rPr>
        <w:t xml:space="preserve"> classes.</w:t>
      </w:r>
    </w:p>
    <w:p w14:paraId="5F9C7387" w14:textId="77777777" w:rsidR="00497D45" w:rsidRPr="00497D45" w:rsidRDefault="00826F4B" w:rsidP="00497D45">
      <w:pPr>
        <w:pStyle w:val="ListParagraph"/>
        <w:widowControl/>
        <w:numPr>
          <w:ilvl w:val="0"/>
          <w:numId w:val="11"/>
        </w:numPr>
        <w:rPr>
          <w:b/>
          <w:szCs w:val="24"/>
        </w:rPr>
      </w:pPr>
      <w:r>
        <w:t xml:space="preserve">Particularly exemplary class participation can result in a half-grade </w:t>
      </w:r>
      <w:proofErr w:type="gramStart"/>
      <w:r>
        <w:t>bump-up</w:t>
      </w:r>
      <w:proofErr w:type="gramEnd"/>
      <w:r>
        <w:t xml:space="preserve"> (i.e., B+ to A-; B- to B).  Please keep in mind that “exemplary” refers to quality, rather than quantity; the thoughtfulness of your questions and comments, rather than frequency o</w:t>
      </w:r>
      <w:r w:rsidR="00497D45">
        <w:t>r even accuracy, is what counts.</w:t>
      </w:r>
    </w:p>
    <w:p w14:paraId="0C6F242A" w14:textId="7F92F583" w:rsidR="008E48FE" w:rsidRPr="00497D45" w:rsidRDefault="00497D45" w:rsidP="00497D45">
      <w:pPr>
        <w:pStyle w:val="ListParagraph"/>
        <w:widowControl/>
        <w:numPr>
          <w:ilvl w:val="0"/>
          <w:numId w:val="11"/>
        </w:numPr>
        <w:rPr>
          <w:b/>
          <w:szCs w:val="24"/>
        </w:rPr>
      </w:pPr>
      <w:r>
        <w:t xml:space="preserve">Regular attendance is expected; please let me know ahead of time if you have to miss class.  </w:t>
      </w:r>
      <w:r w:rsidR="008E48FE">
        <w:t xml:space="preserve">Poor class attendance, or obvious and repeated lack of preparation for class, can result in a half-grade bump down.  This happens rarely, and only for students who are clearly failing to meet their responsibilities toward the class.  I will give advance notice to students who are at risk of a </w:t>
      </w:r>
      <w:proofErr w:type="gramStart"/>
      <w:r w:rsidR="008E48FE">
        <w:t>bump-down</w:t>
      </w:r>
      <w:proofErr w:type="gramEnd"/>
      <w:r w:rsidR="008E48FE">
        <w:t>.</w:t>
      </w:r>
    </w:p>
    <w:p w14:paraId="1ECB2372" w14:textId="77777777" w:rsidR="00826F4B" w:rsidRDefault="00826F4B" w:rsidP="00826F4B">
      <w:pPr>
        <w:rPr>
          <w:b/>
        </w:rPr>
      </w:pPr>
    </w:p>
    <w:p w14:paraId="721B8B20" w14:textId="77777777" w:rsidR="00826F4B" w:rsidRPr="005075E8" w:rsidRDefault="00826F4B" w:rsidP="00826F4B">
      <w:pPr>
        <w:rPr>
          <w:u w:val="single"/>
        </w:rPr>
      </w:pPr>
      <w:r w:rsidRPr="005075E8">
        <w:rPr>
          <w:b/>
          <w:u w:val="single"/>
        </w:rPr>
        <w:t>Reading Assignments</w:t>
      </w:r>
    </w:p>
    <w:p w14:paraId="25B54C1A" w14:textId="2F09AD9A" w:rsidR="00826F4B" w:rsidRPr="00715794" w:rsidRDefault="00826F4B" w:rsidP="00826F4B">
      <w:pPr>
        <w:ind w:left="720"/>
        <w:rPr>
          <w:i/>
        </w:rPr>
      </w:pPr>
      <w:r>
        <w:t xml:space="preserve">This syllabus provides my initial </w:t>
      </w:r>
      <w:r w:rsidR="00715794">
        <w:t xml:space="preserve">reading </w:t>
      </w:r>
      <w:r>
        <w:t>plan</w:t>
      </w:r>
      <w:r w:rsidR="00715794">
        <w:t>.  We will undoubtedly</w:t>
      </w:r>
      <w:r>
        <w:t xml:space="preserve"> make adjustments during the semester, both to add new material (in the event of new developments) and to omit some (if we’re falling behind).  If this happens, I will notify you in class, and will post any revisions on the Blackboard website.  </w:t>
      </w:r>
    </w:p>
    <w:p w14:paraId="3735567D" w14:textId="77777777" w:rsidR="00826F4B" w:rsidRDefault="00826F4B" w:rsidP="00826F4B"/>
    <w:p w14:paraId="1443D979" w14:textId="5B832668" w:rsidR="00826F4B" w:rsidRDefault="0011260E" w:rsidP="00826F4B">
      <w:pPr>
        <w:ind w:left="720"/>
      </w:pPr>
      <w:r>
        <w:t>Our casebook is</w:t>
      </w:r>
      <w:r w:rsidR="00826F4B">
        <w:t xml:space="preserve"> </w:t>
      </w:r>
      <w:r w:rsidR="008E48FE">
        <w:t>Barton Beebe,</w:t>
      </w:r>
      <w:r w:rsidR="009C0DF2">
        <w:t xml:space="preserve"> </w:t>
      </w:r>
      <w:r w:rsidR="009C0DF2">
        <w:rPr>
          <w:i/>
        </w:rPr>
        <w:t>Trademark Law:  An Open-Source Casebook</w:t>
      </w:r>
      <w:r w:rsidR="009C0DF2">
        <w:t xml:space="preserve">. With Professor Beebe’s permission, I </w:t>
      </w:r>
      <w:r w:rsidR="00FE5E62">
        <w:t>am adapting</w:t>
      </w:r>
      <w:r w:rsidR="009C0DF2">
        <w:t xml:space="preserve"> the casebook for our class, and the materials posted on the Blackboard site are thus a modified version of the original Beebe casebook.  </w:t>
      </w:r>
    </w:p>
    <w:p w14:paraId="09FAA531" w14:textId="77777777" w:rsidR="00826F4B" w:rsidRDefault="00826F4B" w:rsidP="00826F4B"/>
    <w:p w14:paraId="6F9FFF0C" w14:textId="77777777" w:rsidR="00826F4B" w:rsidRDefault="00826F4B" w:rsidP="00826F4B">
      <w:pPr>
        <w:rPr>
          <w:b/>
          <w:u w:val="single"/>
        </w:rPr>
      </w:pPr>
      <w:r w:rsidRPr="005075E8">
        <w:rPr>
          <w:b/>
          <w:u w:val="single"/>
        </w:rPr>
        <w:t>Other resources</w:t>
      </w:r>
    </w:p>
    <w:p w14:paraId="68085CAD" w14:textId="77777777" w:rsidR="00826F4B" w:rsidRPr="005075E8" w:rsidRDefault="00826F4B" w:rsidP="009C0DF2">
      <w:pPr>
        <w:ind w:left="720"/>
      </w:pPr>
      <w:r>
        <w:rPr>
          <w:i/>
        </w:rPr>
        <w:t>Blogs</w:t>
      </w:r>
      <w:r>
        <w:t xml:space="preserve">: Rebecca </w:t>
      </w:r>
      <w:proofErr w:type="spellStart"/>
      <w:r>
        <w:t>Tushnet’s</w:t>
      </w:r>
      <w:proofErr w:type="spellEnd"/>
      <w:r>
        <w:t xml:space="preserve"> 43(</w:t>
      </w:r>
      <w:proofErr w:type="gramStart"/>
      <w:r>
        <w:t>B)log</w:t>
      </w:r>
      <w:proofErr w:type="gramEnd"/>
      <w:r>
        <w:t xml:space="preserve">, </w:t>
      </w:r>
      <w:hyperlink r:id="rId9" w:history="1">
        <w:r w:rsidRPr="00106F72">
          <w:rPr>
            <w:rStyle w:val="Hyperlink"/>
          </w:rPr>
          <w:t>http://tushnet.blogspot.com/</w:t>
        </w:r>
      </w:hyperlink>
      <w:r>
        <w:t xml:space="preserve"> </w:t>
      </w:r>
    </w:p>
    <w:p w14:paraId="3DF4185C" w14:textId="77777777" w:rsidR="008D7B64" w:rsidRDefault="008D7B64" w:rsidP="00826F4B">
      <w:pPr>
        <w:ind w:left="1440"/>
      </w:pPr>
      <w:r>
        <w:t xml:space="preserve">Eric Goldman’s Technology &amp; Marketing Law Blog, </w:t>
      </w:r>
      <w:hyperlink r:id="rId10" w:history="1">
        <w:r w:rsidRPr="008F2086">
          <w:rPr>
            <w:rStyle w:val="Hyperlink"/>
          </w:rPr>
          <w:t>http://blog.ericgoldman.org/</w:t>
        </w:r>
      </w:hyperlink>
      <w:r>
        <w:t xml:space="preserve"> </w:t>
      </w:r>
    </w:p>
    <w:p w14:paraId="58576034" w14:textId="77777777" w:rsidR="009C0DF2" w:rsidRDefault="00822F61" w:rsidP="009C0DF2">
      <w:pPr>
        <w:ind w:left="1440"/>
      </w:pPr>
      <w:r>
        <w:t xml:space="preserve">Marty </w:t>
      </w:r>
      <w:proofErr w:type="spellStart"/>
      <w:r>
        <w:t>Schwimmer’s</w:t>
      </w:r>
      <w:proofErr w:type="spellEnd"/>
      <w:r>
        <w:t xml:space="preserve"> trademark blog, </w:t>
      </w:r>
      <w:hyperlink r:id="rId11" w:history="1">
        <w:r w:rsidRPr="008F2086">
          <w:rPr>
            <w:rStyle w:val="Hyperlink"/>
          </w:rPr>
          <w:t>http://www.schwimmerlegal.com/</w:t>
        </w:r>
      </w:hyperlink>
      <w:r>
        <w:t xml:space="preserve"> </w:t>
      </w:r>
    </w:p>
    <w:p w14:paraId="2B12A27A" w14:textId="77777777" w:rsidR="009C0DF2" w:rsidRDefault="009C0DF2" w:rsidP="009C0DF2">
      <w:pPr>
        <w:ind w:left="1440"/>
      </w:pPr>
      <w:r>
        <w:t xml:space="preserve">John Welch’s </w:t>
      </w:r>
      <w:r>
        <w:rPr>
          <w:i/>
        </w:rPr>
        <w:t>The TTAB Blog</w:t>
      </w:r>
      <w:r>
        <w:t xml:space="preserve">, </w:t>
      </w:r>
      <w:hyperlink r:id="rId12" w:history="1">
        <w:r w:rsidRPr="008F2086">
          <w:rPr>
            <w:rStyle w:val="Hyperlink"/>
          </w:rPr>
          <w:t>http://thettablog.blogspot.com/</w:t>
        </w:r>
      </w:hyperlink>
      <w:r>
        <w:t xml:space="preserve"> </w:t>
      </w:r>
    </w:p>
    <w:p w14:paraId="0F4B9DBB" w14:textId="7B5A76B0" w:rsidR="00832855" w:rsidRPr="00B31E8C" w:rsidRDefault="00832855" w:rsidP="00832855">
      <w:pPr>
        <w:ind w:left="1440"/>
      </w:pPr>
      <w:r>
        <w:t xml:space="preserve">Jeremy Phillips, </w:t>
      </w:r>
      <w:proofErr w:type="spellStart"/>
      <w:r>
        <w:t>Ilanah</w:t>
      </w:r>
      <w:proofErr w:type="spellEnd"/>
      <w:r>
        <w:t xml:space="preserve"> Simon </w:t>
      </w:r>
      <w:proofErr w:type="spellStart"/>
      <w:r>
        <w:t>Fhima</w:t>
      </w:r>
      <w:proofErr w:type="spellEnd"/>
      <w:r>
        <w:t xml:space="preserve">, Johanna Gibson, and David Pearce’s </w:t>
      </w:r>
      <w:proofErr w:type="spellStart"/>
      <w:r>
        <w:rPr>
          <w:i/>
        </w:rPr>
        <w:t>IPKat</w:t>
      </w:r>
      <w:proofErr w:type="spellEnd"/>
      <w:r>
        <w:t xml:space="preserve"> (European IP issues), </w:t>
      </w:r>
      <w:hyperlink r:id="rId13" w:history="1">
        <w:r w:rsidRPr="00970452">
          <w:rPr>
            <w:rStyle w:val="Hyperlink"/>
          </w:rPr>
          <w:t>http://ipkitten.blogspot.com/</w:t>
        </w:r>
      </w:hyperlink>
      <w:r>
        <w:t xml:space="preserve"> </w:t>
      </w:r>
    </w:p>
    <w:p w14:paraId="04EFF844" w14:textId="77777777" w:rsidR="00826F4B" w:rsidRDefault="00826F4B" w:rsidP="00826F4B">
      <w:pPr>
        <w:ind w:left="360" w:firstLine="360"/>
      </w:pPr>
      <w:r>
        <w:rPr>
          <w:i/>
        </w:rPr>
        <w:lastRenderedPageBreak/>
        <w:t>Reference Materials</w:t>
      </w:r>
      <w:r>
        <w:t xml:space="preserve">:  </w:t>
      </w:r>
    </w:p>
    <w:p w14:paraId="0514094C" w14:textId="77777777" w:rsidR="00826F4B" w:rsidRDefault="00826F4B" w:rsidP="00826F4B">
      <w:pPr>
        <w:ind w:left="1440"/>
      </w:pPr>
      <w:r>
        <w:t>McCarthy on TM &amp; Unfair Competition, in library or through Westlaw</w:t>
      </w:r>
    </w:p>
    <w:p w14:paraId="6CB54BC0" w14:textId="77777777" w:rsidR="00826F4B" w:rsidRDefault="00826F4B" w:rsidP="00826F4B">
      <w:pPr>
        <w:ind w:left="1440"/>
      </w:pPr>
      <w:r>
        <w:t>Gilson on Trademark Protection and Practice, available on Lexis</w:t>
      </w:r>
    </w:p>
    <w:p w14:paraId="0227E5DC" w14:textId="77777777" w:rsidR="00B25EFF" w:rsidRDefault="00B25EFF" w:rsidP="00826F4B"/>
    <w:p w14:paraId="4FA9EBFB" w14:textId="77777777" w:rsidR="00B25EFF" w:rsidRPr="00B25EFF" w:rsidRDefault="00B25EFF" w:rsidP="00826F4B">
      <w:pPr>
        <w:rPr>
          <w:b/>
        </w:rPr>
      </w:pPr>
      <w:r w:rsidRPr="00B25EFF">
        <w:rPr>
          <w:b/>
        </w:rPr>
        <w:t>SYLLABUS:</w:t>
      </w:r>
    </w:p>
    <w:p w14:paraId="44CEEBD4" w14:textId="77777777" w:rsidR="00826F4B" w:rsidRDefault="00826F4B" w:rsidP="00826F4B">
      <w:r>
        <w:t>Class 1</w:t>
      </w:r>
      <w:r w:rsidR="00B25EFF">
        <w:t xml:space="preserve"> </w:t>
      </w:r>
      <w:r w:rsidR="00715794">
        <w:t xml:space="preserve">  </w:t>
      </w:r>
    </w:p>
    <w:p w14:paraId="513A0738" w14:textId="77777777" w:rsidR="00B25EFF" w:rsidRPr="00B25EFF" w:rsidRDefault="00B25EFF" w:rsidP="00826F4B">
      <w:pPr>
        <w:widowControl/>
        <w:numPr>
          <w:ilvl w:val="0"/>
          <w:numId w:val="1"/>
        </w:numPr>
      </w:pPr>
      <w:r>
        <w:rPr>
          <w:b/>
        </w:rPr>
        <w:t>INTRODUCTION</w:t>
      </w:r>
    </w:p>
    <w:p w14:paraId="3A33DC11" w14:textId="77777777" w:rsidR="00826F4B" w:rsidRDefault="003D1BD5" w:rsidP="00826F4B">
      <w:pPr>
        <w:widowControl/>
        <w:numPr>
          <w:ilvl w:val="0"/>
          <w:numId w:val="1"/>
        </w:numPr>
      </w:pPr>
      <w:r>
        <w:rPr>
          <w:b/>
        </w:rPr>
        <w:t>ESTABLISHING RIGHTS</w:t>
      </w:r>
      <w:r w:rsidR="00B25EFF">
        <w:rPr>
          <w:b/>
        </w:rPr>
        <w:t xml:space="preserve"> </w:t>
      </w:r>
      <w:r w:rsidR="009A7EA3">
        <w:rPr>
          <w:b/>
        </w:rPr>
        <w:t>(Part I of casebook)</w:t>
      </w:r>
    </w:p>
    <w:p w14:paraId="728E4127" w14:textId="77777777" w:rsidR="00856971" w:rsidRDefault="00B25EFF" w:rsidP="003D1BD5">
      <w:pPr>
        <w:ind w:left="1440"/>
      </w:pPr>
      <w:r>
        <w:rPr>
          <w:b/>
        </w:rPr>
        <w:t>Distinctiveness</w:t>
      </w:r>
      <w:r w:rsidR="003D1BD5">
        <w:rPr>
          <w:b/>
        </w:rPr>
        <w:t xml:space="preserve"> – inherent distinctiveness &amp; the </w:t>
      </w:r>
      <w:r w:rsidR="003D1BD5">
        <w:rPr>
          <w:b/>
          <w:i/>
        </w:rPr>
        <w:t>Abercrombie</w:t>
      </w:r>
      <w:r w:rsidR="003D1BD5">
        <w:rPr>
          <w:b/>
        </w:rPr>
        <w:t xml:space="preserve"> spectrum</w:t>
      </w:r>
    </w:p>
    <w:p w14:paraId="56667239" w14:textId="77777777" w:rsidR="003F6A01" w:rsidRDefault="00826F4B" w:rsidP="00856971">
      <w:pPr>
        <w:ind w:left="1440"/>
        <w:rPr>
          <w:i/>
        </w:rPr>
      </w:pPr>
      <w:proofErr w:type="gramStart"/>
      <w:r>
        <w:t>pp</w:t>
      </w:r>
      <w:proofErr w:type="gramEnd"/>
      <w:r>
        <w:t xml:space="preserve">. </w:t>
      </w:r>
      <w:r w:rsidR="003F6A01">
        <w:t>5-17</w:t>
      </w:r>
      <w:r>
        <w:t xml:space="preserve"> </w:t>
      </w:r>
      <w:r w:rsidR="003F6A01">
        <w:t>(</w:t>
      </w:r>
      <w:r w:rsidR="003F6A01">
        <w:rPr>
          <w:i/>
        </w:rPr>
        <w:t xml:space="preserve">Abercrombie v. Hunting World) </w:t>
      </w:r>
    </w:p>
    <w:p w14:paraId="3338D4B1" w14:textId="77777777" w:rsidR="003F6A01" w:rsidRDefault="003F6A01" w:rsidP="003D1BD5">
      <w:pPr>
        <w:rPr>
          <w:i/>
        </w:rPr>
      </w:pPr>
    </w:p>
    <w:p w14:paraId="264457EE" w14:textId="77777777" w:rsidR="003D1BD5" w:rsidRDefault="003D1BD5" w:rsidP="003D1BD5">
      <w:r>
        <w:t>Class 2</w:t>
      </w:r>
      <w:r>
        <w:tab/>
      </w:r>
    </w:p>
    <w:p w14:paraId="26EDFFD5" w14:textId="77777777" w:rsidR="003D1BD5" w:rsidRPr="003D1BD5" w:rsidRDefault="003D1BD5" w:rsidP="003D1BD5">
      <w:pPr>
        <w:ind w:left="1440"/>
      </w:pPr>
      <w:r>
        <w:rPr>
          <w:b/>
        </w:rPr>
        <w:t>Descriptive vs. suggestive marks; special rules for certain marks; acquired distinctiveness</w:t>
      </w:r>
    </w:p>
    <w:p w14:paraId="137C54F7" w14:textId="77777777" w:rsidR="00856971" w:rsidRPr="003F6A01" w:rsidRDefault="003D1BD5" w:rsidP="003D1BD5">
      <w:pPr>
        <w:ind w:left="1440"/>
      </w:pPr>
      <w:proofErr w:type="gramStart"/>
      <w:r>
        <w:t>pp</w:t>
      </w:r>
      <w:proofErr w:type="gramEnd"/>
      <w:r>
        <w:t>. 17-41</w:t>
      </w:r>
      <w:r w:rsidR="003F6A01">
        <w:t xml:space="preserve"> (</w:t>
      </w:r>
      <w:proofErr w:type="spellStart"/>
      <w:r w:rsidR="003F6A01">
        <w:rPr>
          <w:i/>
        </w:rPr>
        <w:t>Zatarains</w:t>
      </w:r>
      <w:proofErr w:type="spellEnd"/>
      <w:r w:rsidR="003F6A01">
        <w:rPr>
          <w:i/>
        </w:rPr>
        <w:t xml:space="preserve"> v. Oak Grove; Innovation Ventures v. NVE; </w:t>
      </w:r>
      <w:proofErr w:type="spellStart"/>
      <w:r w:rsidR="003F6A01">
        <w:rPr>
          <w:i/>
        </w:rPr>
        <w:t>Zobmondo</w:t>
      </w:r>
      <w:proofErr w:type="spellEnd"/>
      <w:r w:rsidR="003F6A01">
        <w:rPr>
          <w:i/>
        </w:rPr>
        <w:t xml:space="preserve"> v. Falls Media</w:t>
      </w:r>
      <w:r>
        <w:rPr>
          <w:i/>
        </w:rPr>
        <w:t>;</w:t>
      </w:r>
      <w:r w:rsidRPr="003D1BD5">
        <w:rPr>
          <w:i/>
        </w:rPr>
        <w:t xml:space="preserve"> </w:t>
      </w:r>
      <w:r>
        <w:rPr>
          <w:i/>
        </w:rPr>
        <w:t>Frosty Treats v. Sony</w:t>
      </w:r>
      <w:r w:rsidR="003F6A01">
        <w:t>)</w:t>
      </w:r>
    </w:p>
    <w:p w14:paraId="23D43F41" w14:textId="77777777" w:rsidR="003F6A01" w:rsidRDefault="003F6A01" w:rsidP="003F6A01"/>
    <w:p w14:paraId="208B6AF2" w14:textId="77777777" w:rsidR="003D1BD5" w:rsidRPr="003D1BD5" w:rsidRDefault="003F6A01" w:rsidP="003F6A01">
      <w:pPr>
        <w:ind w:left="1440" w:hanging="1440"/>
        <w:rPr>
          <w:b/>
        </w:rPr>
      </w:pPr>
      <w:r>
        <w:t xml:space="preserve">Class </w:t>
      </w:r>
      <w:proofErr w:type="gramStart"/>
      <w:r>
        <w:t>3</w:t>
      </w:r>
      <w:r w:rsidR="003D1BD5">
        <w:tab/>
      </w:r>
      <w:r w:rsidR="003D1BD5">
        <w:rPr>
          <w:b/>
        </w:rPr>
        <w:t>Acquired distinctiveness</w:t>
      </w:r>
      <w:proofErr w:type="gramEnd"/>
      <w:r w:rsidR="003D1BD5">
        <w:rPr>
          <w:b/>
        </w:rPr>
        <w:t xml:space="preserve"> cont’d; Generic marks</w:t>
      </w:r>
    </w:p>
    <w:p w14:paraId="1F928096" w14:textId="77777777" w:rsidR="000C0C8F" w:rsidRDefault="003F6A01" w:rsidP="003F6A01">
      <w:pPr>
        <w:ind w:left="1440" w:hanging="1440"/>
      </w:pPr>
      <w:r>
        <w:tab/>
      </w:r>
      <w:proofErr w:type="gramStart"/>
      <w:r w:rsidR="00A75FD0">
        <w:t>pp</w:t>
      </w:r>
      <w:proofErr w:type="gramEnd"/>
      <w:r w:rsidR="00A75FD0">
        <w:t xml:space="preserve">. </w:t>
      </w:r>
      <w:r w:rsidR="003D1BD5">
        <w:t>4</w:t>
      </w:r>
      <w:r w:rsidR="00EF172C">
        <w:t>1</w:t>
      </w:r>
      <w:r w:rsidR="003D1BD5">
        <w:t>-66</w:t>
      </w:r>
      <w:r>
        <w:t xml:space="preserve"> (</w:t>
      </w:r>
      <w:r>
        <w:rPr>
          <w:i/>
        </w:rPr>
        <w:t xml:space="preserve">Cartier v. Four Star Jewelry; Board of Supervisors v. Smack </w:t>
      </w:r>
      <w:bookmarkStart w:id="0" w:name="_GoBack"/>
      <w:bookmarkEnd w:id="0"/>
      <w:r>
        <w:rPr>
          <w:i/>
        </w:rPr>
        <w:t>Apparel</w:t>
      </w:r>
      <w:r w:rsidR="003D1BD5">
        <w:rPr>
          <w:i/>
        </w:rPr>
        <w:t>; Pilates v. Current Concepts</w:t>
      </w:r>
      <w:r>
        <w:t>)</w:t>
      </w:r>
    </w:p>
    <w:p w14:paraId="525BB695" w14:textId="77777777" w:rsidR="003F6A01" w:rsidRPr="003F6A01" w:rsidRDefault="003F6A01" w:rsidP="003F6A01">
      <w:pPr>
        <w:ind w:left="1440" w:hanging="1440"/>
      </w:pPr>
      <w:r>
        <w:tab/>
      </w:r>
    </w:p>
    <w:p w14:paraId="237865E5" w14:textId="77777777" w:rsidR="000C0C8F" w:rsidRPr="003D1BD5" w:rsidRDefault="003F6A01" w:rsidP="009D65B9">
      <w:pPr>
        <w:ind w:left="1440" w:hanging="1440"/>
        <w:rPr>
          <w:b/>
        </w:rPr>
      </w:pPr>
      <w:r>
        <w:t>Class 4</w:t>
      </w:r>
      <w:r w:rsidR="009D65B9">
        <w:tab/>
      </w:r>
      <w:r w:rsidR="003D1BD5">
        <w:rPr>
          <w:b/>
        </w:rPr>
        <w:t>Generic marks</w:t>
      </w:r>
      <w:r w:rsidR="009D65B9">
        <w:rPr>
          <w:b/>
        </w:rPr>
        <w:t xml:space="preserve"> cont’d</w:t>
      </w:r>
      <w:r w:rsidR="003D1BD5">
        <w:rPr>
          <w:b/>
        </w:rPr>
        <w:t xml:space="preserve">; </w:t>
      </w:r>
      <w:r w:rsidR="009D65B9">
        <w:rPr>
          <w:b/>
        </w:rPr>
        <w:t xml:space="preserve">further examples applying </w:t>
      </w:r>
      <w:r w:rsidR="009D65B9">
        <w:rPr>
          <w:b/>
          <w:i/>
        </w:rPr>
        <w:t>Abercrombie</w:t>
      </w:r>
      <w:proofErr w:type="gramStart"/>
      <w:r w:rsidR="009D65B9">
        <w:rPr>
          <w:b/>
        </w:rPr>
        <w:t>;</w:t>
      </w:r>
      <w:proofErr w:type="gramEnd"/>
      <w:r w:rsidR="009D65B9">
        <w:rPr>
          <w:b/>
          <w:i/>
        </w:rPr>
        <w:t xml:space="preserve"> </w:t>
      </w:r>
      <w:r w:rsidR="003D1BD5">
        <w:rPr>
          <w:b/>
        </w:rPr>
        <w:t>distinctiveness of non-verbal marks</w:t>
      </w:r>
    </w:p>
    <w:p w14:paraId="5CE9CE04" w14:textId="77777777" w:rsidR="002019AE" w:rsidRDefault="000C0C8F" w:rsidP="000C0C8F">
      <w:r>
        <w:tab/>
      </w:r>
      <w:r>
        <w:tab/>
      </w:r>
      <w:proofErr w:type="gramStart"/>
      <w:r w:rsidR="003D1BD5">
        <w:t>pp</w:t>
      </w:r>
      <w:proofErr w:type="gramEnd"/>
      <w:r w:rsidR="003D1BD5">
        <w:t>. 66-</w:t>
      </w:r>
      <w:r w:rsidR="00AB4B94">
        <w:t>96 (</w:t>
      </w:r>
      <w:r w:rsidR="00AB4B94">
        <w:rPr>
          <w:i/>
        </w:rPr>
        <w:t>Frito-Lay v. Princeton; Two Pesos v. Taco Cabana</w:t>
      </w:r>
      <w:r w:rsidR="00AB4B94">
        <w:t>)</w:t>
      </w:r>
      <w:r w:rsidR="002019AE">
        <w:t xml:space="preserve"> </w:t>
      </w:r>
    </w:p>
    <w:p w14:paraId="109168C4" w14:textId="77777777" w:rsidR="008C6FE6" w:rsidRDefault="008C6FE6" w:rsidP="000C0C8F"/>
    <w:p w14:paraId="356CDD9A" w14:textId="77777777" w:rsidR="008C6FE6" w:rsidRPr="00AB4B94" w:rsidRDefault="003F6A01" w:rsidP="000C0C8F">
      <w:r>
        <w:t xml:space="preserve">Class </w:t>
      </w:r>
      <w:r w:rsidR="00AB4B94">
        <w:t>5</w:t>
      </w:r>
      <w:r>
        <w:tab/>
      </w:r>
      <w:r>
        <w:tab/>
      </w:r>
      <w:r w:rsidR="00AB4B94">
        <w:rPr>
          <w:b/>
        </w:rPr>
        <w:t>Distinctiveness of non-verbal marks cont’d</w:t>
      </w:r>
      <w:proofErr w:type="gramStart"/>
      <w:r w:rsidR="00CE37DF">
        <w:rPr>
          <w:b/>
        </w:rPr>
        <w:t>;</w:t>
      </w:r>
      <w:proofErr w:type="gramEnd"/>
      <w:r w:rsidR="00CE37DF">
        <w:rPr>
          <w:b/>
        </w:rPr>
        <w:t xml:space="preserve"> packaging vs. design</w:t>
      </w:r>
    </w:p>
    <w:p w14:paraId="2C7E31D7" w14:textId="77777777" w:rsidR="008C6FE6" w:rsidRPr="00CE37DF" w:rsidRDefault="00AB4B94" w:rsidP="00AB4B94">
      <w:pPr>
        <w:ind w:left="1440"/>
      </w:pPr>
      <w:proofErr w:type="gramStart"/>
      <w:r>
        <w:t>pp</w:t>
      </w:r>
      <w:proofErr w:type="gramEnd"/>
      <w:r>
        <w:t xml:space="preserve">. </w:t>
      </w:r>
      <w:r w:rsidR="009E56FD">
        <w:t>96-</w:t>
      </w:r>
      <w:r w:rsidR="00CE37DF">
        <w:t>118 (</w:t>
      </w:r>
      <w:r w:rsidR="00CE37DF">
        <w:rPr>
          <w:i/>
        </w:rPr>
        <w:t xml:space="preserve">Wal-Mart v. Samara Bros.; In re </w:t>
      </w:r>
      <w:proofErr w:type="spellStart"/>
      <w:r w:rsidR="00CE37DF">
        <w:rPr>
          <w:i/>
        </w:rPr>
        <w:t>Slokevage</w:t>
      </w:r>
      <w:proofErr w:type="spellEnd"/>
      <w:r w:rsidR="00CE37DF">
        <w:t>)</w:t>
      </w:r>
    </w:p>
    <w:p w14:paraId="004AD73B" w14:textId="77777777" w:rsidR="00AB4B94" w:rsidRDefault="00AB4B94" w:rsidP="000C0C8F"/>
    <w:p w14:paraId="522FA8E8" w14:textId="77777777" w:rsidR="008C6FE6" w:rsidRPr="00CE37DF" w:rsidRDefault="00CE37DF" w:rsidP="00662A12">
      <w:pPr>
        <w:ind w:left="1440" w:hanging="1440"/>
        <w:rPr>
          <w:b/>
        </w:rPr>
      </w:pPr>
      <w:r>
        <w:t>Class 6</w:t>
      </w:r>
      <w:r w:rsidR="00662A12">
        <w:tab/>
      </w:r>
      <w:r>
        <w:rPr>
          <w:b/>
        </w:rPr>
        <w:t>Packaging vs. design cont’d; inherent distinctiveness of packaging</w:t>
      </w:r>
      <w:r w:rsidR="00662A12">
        <w:rPr>
          <w:b/>
        </w:rPr>
        <w:t xml:space="preserve"> &amp; note on acquired distinctiveness of trade dress</w:t>
      </w:r>
      <w:r>
        <w:rPr>
          <w:b/>
        </w:rPr>
        <w:t xml:space="preserve"> </w:t>
      </w:r>
    </w:p>
    <w:p w14:paraId="096FA826" w14:textId="77777777" w:rsidR="008C6FE6" w:rsidRPr="000D0FB3" w:rsidRDefault="00CE37DF" w:rsidP="00CE37DF">
      <w:pPr>
        <w:ind w:left="1440"/>
      </w:pPr>
      <w:proofErr w:type="gramStart"/>
      <w:r>
        <w:t>pp</w:t>
      </w:r>
      <w:proofErr w:type="gramEnd"/>
      <w:r w:rsidR="00662A12">
        <w:t>. 118-145</w:t>
      </w:r>
      <w:r>
        <w:t xml:space="preserve">  (</w:t>
      </w:r>
      <w:proofErr w:type="spellStart"/>
      <w:r>
        <w:rPr>
          <w:i/>
        </w:rPr>
        <w:t>McKernan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Burek</w:t>
      </w:r>
      <w:proofErr w:type="spellEnd"/>
      <w:r>
        <w:rPr>
          <w:i/>
        </w:rPr>
        <w:t xml:space="preserve">; Best Cellars v. Wine Made Simple; </w:t>
      </w:r>
      <w:proofErr w:type="spellStart"/>
      <w:r>
        <w:rPr>
          <w:i/>
        </w:rPr>
        <w:t>Fedders</w:t>
      </w:r>
      <w:proofErr w:type="spellEnd"/>
      <w:r>
        <w:rPr>
          <w:i/>
        </w:rPr>
        <w:t xml:space="preserve"> v. Elite Classics; Fun-</w:t>
      </w:r>
      <w:proofErr w:type="spellStart"/>
      <w:r>
        <w:rPr>
          <w:i/>
        </w:rPr>
        <w:t>Damental</w:t>
      </w:r>
      <w:proofErr w:type="spellEnd"/>
      <w:r>
        <w:rPr>
          <w:i/>
        </w:rPr>
        <w:t xml:space="preserve"> Too v. Gemmy Industries; </w:t>
      </w:r>
      <w:r w:rsidR="000D0FB3">
        <w:rPr>
          <w:i/>
        </w:rPr>
        <w:t>Amazing Space v. Metro Mini-Storage</w:t>
      </w:r>
      <w:r w:rsidR="00662A12">
        <w:rPr>
          <w:i/>
        </w:rPr>
        <w:t>; Fiji v. Fiji; Star v. Bacardi</w:t>
      </w:r>
      <w:r w:rsidR="000D0FB3">
        <w:t>)</w:t>
      </w:r>
    </w:p>
    <w:p w14:paraId="1B926FD5" w14:textId="77777777" w:rsidR="00CE37DF" w:rsidRDefault="00CE37DF" w:rsidP="000C0C8F"/>
    <w:p w14:paraId="5BD8F06E" w14:textId="77777777" w:rsidR="008C6FE6" w:rsidRPr="000D0FB3" w:rsidRDefault="00662A12" w:rsidP="000D0FB3">
      <w:pPr>
        <w:ind w:left="1440" w:hanging="1440"/>
        <w:rPr>
          <w:b/>
        </w:rPr>
      </w:pPr>
      <w:r>
        <w:t>Class 7</w:t>
      </w:r>
      <w:r w:rsidR="000D0FB3">
        <w:tab/>
      </w:r>
      <w:r>
        <w:rPr>
          <w:b/>
        </w:rPr>
        <w:t>Bars to protection</w:t>
      </w:r>
      <w:r w:rsidR="00703B45">
        <w:rPr>
          <w:b/>
        </w:rPr>
        <w:t>:  functionality</w:t>
      </w:r>
    </w:p>
    <w:p w14:paraId="2C8C92B0" w14:textId="77777777" w:rsidR="00703B45" w:rsidRPr="00703B45" w:rsidRDefault="000D0FB3" w:rsidP="00703B45">
      <w:pPr>
        <w:ind w:left="1440"/>
      </w:pPr>
      <w:proofErr w:type="gramStart"/>
      <w:r>
        <w:t>pp</w:t>
      </w:r>
      <w:proofErr w:type="gramEnd"/>
      <w:r>
        <w:t xml:space="preserve">. </w:t>
      </w:r>
      <w:r w:rsidR="00703B45">
        <w:t>148-170 (</w:t>
      </w:r>
      <w:r w:rsidR="00703B45">
        <w:rPr>
          <w:i/>
        </w:rPr>
        <w:t>In re Morton-Norwich</w:t>
      </w:r>
      <w:r w:rsidR="00703B45">
        <w:t xml:space="preserve">; </w:t>
      </w:r>
      <w:proofErr w:type="spellStart"/>
      <w:r w:rsidR="00703B45">
        <w:rPr>
          <w:i/>
        </w:rPr>
        <w:t>Inwood</w:t>
      </w:r>
      <w:proofErr w:type="spellEnd"/>
      <w:r w:rsidR="00703B45">
        <w:rPr>
          <w:i/>
        </w:rPr>
        <w:t xml:space="preserve"> v. Ives; </w:t>
      </w:r>
      <w:proofErr w:type="spellStart"/>
      <w:r w:rsidR="00703B45">
        <w:rPr>
          <w:i/>
        </w:rPr>
        <w:t>Traffix</w:t>
      </w:r>
      <w:proofErr w:type="spellEnd"/>
      <w:r w:rsidR="00703B45">
        <w:rPr>
          <w:i/>
        </w:rPr>
        <w:t xml:space="preserve"> v. Marketing Displays</w:t>
      </w:r>
      <w:r w:rsidR="00703B45">
        <w:t>)</w:t>
      </w:r>
    </w:p>
    <w:p w14:paraId="27E444E7" w14:textId="77777777" w:rsidR="000D0FB3" w:rsidRDefault="000D0FB3" w:rsidP="000C0C8F"/>
    <w:p w14:paraId="7B341906" w14:textId="77777777" w:rsidR="00703B45" w:rsidRDefault="00703B45" w:rsidP="000C0C8F">
      <w:pPr>
        <w:rPr>
          <w:b/>
        </w:rPr>
      </w:pPr>
      <w:r>
        <w:t xml:space="preserve">Class </w:t>
      </w:r>
      <w:proofErr w:type="gramStart"/>
      <w:r>
        <w:t>8</w:t>
      </w:r>
      <w:r w:rsidR="008C6FE6">
        <w:tab/>
      </w:r>
      <w:r w:rsidR="008C6FE6">
        <w:tab/>
      </w:r>
      <w:r>
        <w:rPr>
          <w:b/>
        </w:rPr>
        <w:t>Functionality post-</w:t>
      </w:r>
      <w:proofErr w:type="spellStart"/>
      <w:r>
        <w:rPr>
          <w:b/>
          <w:i/>
        </w:rPr>
        <w:t>Traffix</w:t>
      </w:r>
      <w:proofErr w:type="spellEnd"/>
      <w:proofErr w:type="gramEnd"/>
    </w:p>
    <w:p w14:paraId="18B0E37C" w14:textId="77777777" w:rsidR="008C6FE6" w:rsidRPr="00C90FF2" w:rsidRDefault="00C90FF2" w:rsidP="00C90FF2">
      <w:pPr>
        <w:ind w:left="1440"/>
      </w:pPr>
      <w:proofErr w:type="gramStart"/>
      <w:r>
        <w:t>pp</w:t>
      </w:r>
      <w:proofErr w:type="gramEnd"/>
      <w:r>
        <w:t>. 171-205</w:t>
      </w:r>
      <w:r w:rsidR="00B07492">
        <w:t xml:space="preserve"> (</w:t>
      </w:r>
      <w:proofErr w:type="spellStart"/>
      <w:r w:rsidR="00B07492">
        <w:rPr>
          <w:i/>
        </w:rPr>
        <w:t>Valu</w:t>
      </w:r>
      <w:proofErr w:type="spellEnd"/>
      <w:r w:rsidR="00B07492">
        <w:rPr>
          <w:i/>
        </w:rPr>
        <w:t xml:space="preserve"> Engineering v. Rexnord; </w:t>
      </w:r>
      <w:proofErr w:type="spellStart"/>
      <w:r w:rsidR="00B07492">
        <w:rPr>
          <w:i/>
        </w:rPr>
        <w:t>Eppendorf</w:t>
      </w:r>
      <w:proofErr w:type="spellEnd"/>
      <w:r w:rsidR="00B07492">
        <w:rPr>
          <w:i/>
        </w:rPr>
        <w:t xml:space="preserve"> v. Ritter; </w:t>
      </w:r>
      <w:r>
        <w:rPr>
          <w:i/>
        </w:rPr>
        <w:t xml:space="preserve">Talking Rain Bev. Co. v. South Beach; Specialized Seating v. Greenwich Indus.; </w:t>
      </w:r>
      <w:proofErr w:type="spellStart"/>
      <w:r>
        <w:rPr>
          <w:i/>
        </w:rPr>
        <w:t>Pagliero</w:t>
      </w:r>
      <w:proofErr w:type="spellEnd"/>
      <w:r>
        <w:rPr>
          <w:i/>
        </w:rPr>
        <w:t xml:space="preserve"> v. Wallace; Wallace v. </w:t>
      </w:r>
      <w:proofErr w:type="spellStart"/>
      <w:r>
        <w:rPr>
          <w:i/>
        </w:rPr>
        <w:t>Godinger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Louboutin</w:t>
      </w:r>
      <w:proofErr w:type="spellEnd"/>
      <w:r>
        <w:rPr>
          <w:i/>
        </w:rPr>
        <w:t xml:space="preserve"> v. YSL; note on aesthetic functionality in 9th Circuit</w:t>
      </w:r>
      <w:r>
        <w:t>)</w:t>
      </w:r>
    </w:p>
    <w:p w14:paraId="5513B987" w14:textId="77777777" w:rsidR="008C6FE6" w:rsidRDefault="008C6FE6" w:rsidP="000C0C8F"/>
    <w:p w14:paraId="70C153B2" w14:textId="77777777" w:rsidR="00585362" w:rsidRDefault="00C90FF2" w:rsidP="00585362">
      <w:pPr>
        <w:ind w:left="1350" w:hanging="1350"/>
      </w:pPr>
      <w:r>
        <w:t>Class 9</w:t>
      </w:r>
      <w:r w:rsidR="00585362">
        <w:tab/>
      </w:r>
      <w:r>
        <w:rPr>
          <w:b/>
        </w:rPr>
        <w:t xml:space="preserve">Deceptive &amp; deceptively </w:t>
      </w:r>
      <w:proofErr w:type="spellStart"/>
      <w:r>
        <w:rPr>
          <w:b/>
        </w:rPr>
        <w:t>misdescriptive</w:t>
      </w:r>
      <w:proofErr w:type="spellEnd"/>
      <w:r>
        <w:rPr>
          <w:b/>
        </w:rPr>
        <w:t xml:space="preserve"> </w:t>
      </w:r>
      <w:r w:rsidRPr="00C90FF2">
        <w:rPr>
          <w:b/>
        </w:rPr>
        <w:t>marks</w:t>
      </w:r>
      <w:r w:rsidR="00585362">
        <w:rPr>
          <w:b/>
        </w:rPr>
        <w:t>; scandalous &amp; disparaging marks</w:t>
      </w:r>
      <w:r>
        <w:t xml:space="preserve"> </w:t>
      </w:r>
    </w:p>
    <w:p w14:paraId="43B4C3D5" w14:textId="77777777" w:rsidR="00AE5742" w:rsidRPr="00DB113A" w:rsidRDefault="00DB113A" w:rsidP="00585362">
      <w:pPr>
        <w:ind w:left="1350"/>
      </w:pPr>
      <w:proofErr w:type="gramStart"/>
      <w:r>
        <w:lastRenderedPageBreak/>
        <w:t>pp</w:t>
      </w:r>
      <w:proofErr w:type="gramEnd"/>
      <w:r>
        <w:t xml:space="preserve">. </w:t>
      </w:r>
      <w:r w:rsidR="00C90FF2">
        <w:t>206-</w:t>
      </w:r>
      <w:r>
        <w:t>229 (</w:t>
      </w:r>
      <w:r>
        <w:rPr>
          <w:i/>
        </w:rPr>
        <w:t xml:space="preserve">In re California Innovations; In re Marsha Fox; In re </w:t>
      </w:r>
      <w:proofErr w:type="spellStart"/>
      <w:r>
        <w:rPr>
          <w:i/>
        </w:rPr>
        <w:t>Heeb</w:t>
      </w:r>
      <w:proofErr w:type="spellEnd"/>
      <w:r>
        <w:rPr>
          <w:i/>
        </w:rPr>
        <w:t xml:space="preserve"> Media</w:t>
      </w:r>
      <w:r>
        <w:t>)</w:t>
      </w:r>
    </w:p>
    <w:p w14:paraId="08C99913" w14:textId="77777777" w:rsidR="00C90FF2" w:rsidRDefault="00C90FF2" w:rsidP="000C0C8F"/>
    <w:p w14:paraId="39022773" w14:textId="77777777" w:rsidR="00585362" w:rsidRPr="00585362" w:rsidRDefault="00AE5742" w:rsidP="00DB113A">
      <w:pPr>
        <w:ind w:left="1350" w:hanging="1350"/>
        <w:rPr>
          <w:b/>
        </w:rPr>
      </w:pPr>
      <w:r>
        <w:t>Class 10</w:t>
      </w:r>
      <w:r>
        <w:tab/>
      </w:r>
      <w:r w:rsidR="00585362">
        <w:rPr>
          <w:b/>
        </w:rPr>
        <w:t>Disparaging marks cont’d</w:t>
      </w:r>
      <w:r w:rsidR="00DB113A">
        <w:rPr>
          <w:b/>
        </w:rPr>
        <w:t>; marks that falsely suggest a connection; confusingly similar marks under § 2(d)</w:t>
      </w:r>
    </w:p>
    <w:p w14:paraId="22B02D70" w14:textId="77777777" w:rsidR="00AE5742" w:rsidRPr="00DB113A" w:rsidRDefault="00DB113A" w:rsidP="00DB113A">
      <w:pPr>
        <w:ind w:left="630" w:firstLine="720"/>
        <w:rPr>
          <w:i/>
        </w:rPr>
      </w:pPr>
      <w:proofErr w:type="gramStart"/>
      <w:r>
        <w:t>pp</w:t>
      </w:r>
      <w:proofErr w:type="gramEnd"/>
      <w:r>
        <w:t>. 229-257 (</w:t>
      </w:r>
      <w:r>
        <w:rPr>
          <w:i/>
        </w:rPr>
        <w:t>Blackhorse v. Pro-Football</w:t>
      </w:r>
      <w:r>
        <w:t xml:space="preserve">; </w:t>
      </w:r>
      <w:r>
        <w:rPr>
          <w:i/>
        </w:rPr>
        <w:t>In re Jackson</w:t>
      </w:r>
      <w:r>
        <w:t>)</w:t>
      </w:r>
      <w:r>
        <w:rPr>
          <w:i/>
        </w:rPr>
        <w:t xml:space="preserve"> </w:t>
      </w:r>
    </w:p>
    <w:p w14:paraId="5BCBE02D" w14:textId="77777777" w:rsidR="00AE5742" w:rsidRDefault="00AE5742" w:rsidP="000C0C8F"/>
    <w:p w14:paraId="37640AEB" w14:textId="77777777" w:rsidR="00AE5742" w:rsidRDefault="00AE5742" w:rsidP="00DB113A">
      <w:r>
        <w:t>Class 11</w:t>
      </w:r>
      <w:r>
        <w:tab/>
      </w:r>
      <w:r w:rsidR="00DB113A">
        <w:rPr>
          <w:b/>
        </w:rPr>
        <w:t>Use as a prerequisite for TM rights</w:t>
      </w:r>
    </w:p>
    <w:p w14:paraId="1403BAC8" w14:textId="77777777" w:rsidR="00AE5742" w:rsidRPr="00906379" w:rsidRDefault="00DB113A" w:rsidP="000C0C8F">
      <w:r>
        <w:tab/>
      </w:r>
      <w:r>
        <w:tab/>
      </w:r>
      <w:proofErr w:type="gramStart"/>
      <w:r>
        <w:t>pp</w:t>
      </w:r>
      <w:proofErr w:type="gramEnd"/>
      <w:r>
        <w:t xml:space="preserve">. </w:t>
      </w:r>
      <w:r w:rsidR="00906379">
        <w:t>258-281 (</w:t>
      </w:r>
      <w:proofErr w:type="spellStart"/>
      <w:r w:rsidR="00906379">
        <w:rPr>
          <w:i/>
        </w:rPr>
        <w:t>Aycock</w:t>
      </w:r>
      <w:proofErr w:type="spellEnd"/>
      <w:r w:rsidR="00906379">
        <w:rPr>
          <w:i/>
        </w:rPr>
        <w:t xml:space="preserve"> v. </w:t>
      </w:r>
      <w:proofErr w:type="spellStart"/>
      <w:r w:rsidR="00906379">
        <w:rPr>
          <w:i/>
        </w:rPr>
        <w:t>Airflite</w:t>
      </w:r>
      <w:proofErr w:type="spellEnd"/>
      <w:r w:rsidR="00906379">
        <w:rPr>
          <w:i/>
        </w:rPr>
        <w:t xml:space="preserve">; Planetary Motion v. </w:t>
      </w:r>
      <w:proofErr w:type="spellStart"/>
      <w:r w:rsidR="00906379">
        <w:rPr>
          <w:i/>
        </w:rPr>
        <w:t>Techsplosion</w:t>
      </w:r>
      <w:proofErr w:type="spellEnd"/>
      <w:r w:rsidR="00906379">
        <w:t>)</w:t>
      </w:r>
    </w:p>
    <w:p w14:paraId="6E21433A" w14:textId="77777777" w:rsidR="00DB113A" w:rsidRDefault="00DB113A" w:rsidP="000C0C8F"/>
    <w:p w14:paraId="0D1CE73C" w14:textId="77777777" w:rsidR="00AE5742" w:rsidRPr="00906379" w:rsidRDefault="00AE5742" w:rsidP="000C0C8F">
      <w:pPr>
        <w:rPr>
          <w:b/>
        </w:rPr>
      </w:pPr>
      <w:r>
        <w:t>Class 12</w:t>
      </w:r>
      <w:r>
        <w:tab/>
      </w:r>
      <w:r w:rsidR="00906379">
        <w:rPr>
          <w:b/>
        </w:rPr>
        <w:t>The registration process; the territorial extent of trademark rights</w:t>
      </w:r>
    </w:p>
    <w:p w14:paraId="28DF9049" w14:textId="77777777" w:rsidR="00AE5742" w:rsidRDefault="00906379" w:rsidP="000C0C8F">
      <w:r>
        <w:tab/>
      </w:r>
      <w:r>
        <w:tab/>
      </w:r>
      <w:proofErr w:type="gramStart"/>
      <w:r>
        <w:t>pp</w:t>
      </w:r>
      <w:proofErr w:type="gramEnd"/>
      <w:r>
        <w:t>. 281-305 (</w:t>
      </w:r>
      <w:r>
        <w:rPr>
          <w:i/>
        </w:rPr>
        <w:t xml:space="preserve">United Drug v. </w:t>
      </w:r>
      <w:proofErr w:type="spellStart"/>
      <w:r>
        <w:rPr>
          <w:i/>
        </w:rPr>
        <w:t>Rectanus</w:t>
      </w:r>
      <w:proofErr w:type="spellEnd"/>
      <w:r>
        <w:t>)</w:t>
      </w:r>
    </w:p>
    <w:p w14:paraId="23AF0FCC" w14:textId="77777777" w:rsidR="00906379" w:rsidRPr="00906379" w:rsidRDefault="00906379" w:rsidP="000C0C8F"/>
    <w:p w14:paraId="0DFDBF55" w14:textId="77777777" w:rsidR="00AE5742" w:rsidRDefault="0058091D" w:rsidP="0058091D">
      <w:pPr>
        <w:ind w:left="1440" w:hanging="1440"/>
      </w:pPr>
      <w:r>
        <w:t>Class 13</w:t>
      </w:r>
      <w:r>
        <w:tab/>
      </w:r>
      <w:r w:rsidR="00657B39">
        <w:rPr>
          <w:b/>
        </w:rPr>
        <w:t>The territorial extent of rights in registered marks</w:t>
      </w:r>
      <w:r>
        <w:rPr>
          <w:b/>
        </w:rPr>
        <w:t xml:space="preserve">; the </w:t>
      </w:r>
      <w:proofErr w:type="gramStart"/>
      <w:r>
        <w:rPr>
          <w:b/>
        </w:rPr>
        <w:t>well-known</w:t>
      </w:r>
      <w:proofErr w:type="gramEnd"/>
      <w:r>
        <w:rPr>
          <w:b/>
        </w:rPr>
        <w:t xml:space="preserve"> marks doctrine</w:t>
      </w:r>
    </w:p>
    <w:p w14:paraId="5AA1D886" w14:textId="77777777" w:rsidR="00657B39" w:rsidRDefault="00657B39" w:rsidP="00657B39">
      <w:pPr>
        <w:ind w:left="1440"/>
      </w:pPr>
      <w:proofErr w:type="gramStart"/>
      <w:r>
        <w:t>pp</w:t>
      </w:r>
      <w:proofErr w:type="gramEnd"/>
      <w:r>
        <w:t>. 305-</w:t>
      </w:r>
      <w:r w:rsidR="00775AA9">
        <w:t>336</w:t>
      </w:r>
      <w:r w:rsidR="0058091D">
        <w:t xml:space="preserve">  (</w:t>
      </w:r>
      <w:r w:rsidR="0058091D">
        <w:rPr>
          <w:i/>
        </w:rPr>
        <w:t xml:space="preserve">Persons v. </w:t>
      </w:r>
      <w:proofErr w:type="spellStart"/>
      <w:r w:rsidR="0058091D">
        <w:rPr>
          <w:i/>
        </w:rPr>
        <w:t>Christman</w:t>
      </w:r>
      <w:proofErr w:type="spellEnd"/>
      <w:r w:rsidR="0058091D">
        <w:rPr>
          <w:i/>
        </w:rPr>
        <w:t xml:space="preserve">; </w:t>
      </w:r>
      <w:proofErr w:type="spellStart"/>
      <w:r w:rsidR="00775AA9">
        <w:rPr>
          <w:i/>
        </w:rPr>
        <w:t>Grupo</w:t>
      </w:r>
      <w:proofErr w:type="spellEnd"/>
      <w:r w:rsidR="00775AA9">
        <w:rPr>
          <w:i/>
        </w:rPr>
        <w:t xml:space="preserve"> </w:t>
      </w:r>
      <w:proofErr w:type="spellStart"/>
      <w:r w:rsidR="00775AA9">
        <w:rPr>
          <w:i/>
        </w:rPr>
        <w:t>Gigante</w:t>
      </w:r>
      <w:proofErr w:type="spellEnd"/>
      <w:r w:rsidR="00775AA9">
        <w:rPr>
          <w:i/>
        </w:rPr>
        <w:t xml:space="preserve"> v. Gallo</w:t>
      </w:r>
      <w:r w:rsidR="00775AA9">
        <w:t>)</w:t>
      </w:r>
    </w:p>
    <w:p w14:paraId="0DFC72CF" w14:textId="77777777" w:rsidR="00775AA9" w:rsidRDefault="00775AA9" w:rsidP="00775AA9"/>
    <w:p w14:paraId="28CD38C8" w14:textId="77777777" w:rsidR="00775AA9" w:rsidRDefault="00775AA9" w:rsidP="00775AA9">
      <w:pPr>
        <w:rPr>
          <w:b/>
        </w:rPr>
      </w:pPr>
      <w:r>
        <w:t>Class 14</w:t>
      </w:r>
      <w:r>
        <w:tab/>
      </w:r>
      <w:r>
        <w:rPr>
          <w:b/>
        </w:rPr>
        <w:t>Well-known marks cont’d</w:t>
      </w:r>
    </w:p>
    <w:p w14:paraId="6408125E" w14:textId="77777777" w:rsidR="00775AA9" w:rsidRDefault="00775AA9" w:rsidP="00775AA9">
      <w:pPr>
        <w:ind w:left="1440"/>
      </w:pPr>
      <w:proofErr w:type="gramStart"/>
      <w:r>
        <w:t>pp</w:t>
      </w:r>
      <w:proofErr w:type="gramEnd"/>
      <w:r>
        <w:t>. 336-</w:t>
      </w:r>
      <w:r w:rsidR="00B56A13">
        <w:t>358 (</w:t>
      </w:r>
      <w:r w:rsidR="00B56A13">
        <w:rPr>
          <w:i/>
        </w:rPr>
        <w:t xml:space="preserve">ITC v. </w:t>
      </w:r>
      <w:proofErr w:type="spellStart"/>
      <w:r w:rsidR="00B56A13">
        <w:rPr>
          <w:i/>
        </w:rPr>
        <w:t>Punchgini</w:t>
      </w:r>
      <w:proofErr w:type="spellEnd"/>
      <w:r w:rsidR="00B56A13">
        <w:t xml:space="preserve"> (2d Cir. &amp; NY Court of Appeals))</w:t>
      </w:r>
    </w:p>
    <w:p w14:paraId="24B58574" w14:textId="77777777" w:rsidR="00B56A13" w:rsidRDefault="00B56A13" w:rsidP="00B56A13"/>
    <w:p w14:paraId="62CD7CCB" w14:textId="77777777" w:rsidR="009A7EA3" w:rsidRDefault="009A7EA3" w:rsidP="009A7EA3">
      <w:pPr>
        <w:numPr>
          <w:ilvl w:val="0"/>
          <w:numId w:val="1"/>
        </w:numPr>
        <w:rPr>
          <w:b/>
        </w:rPr>
      </w:pPr>
      <w:r>
        <w:rPr>
          <w:b/>
        </w:rPr>
        <w:t>Trademark Infringement (Part II of casebook)</w:t>
      </w:r>
    </w:p>
    <w:p w14:paraId="003966CB" w14:textId="77777777" w:rsidR="009A7EA3" w:rsidRDefault="009A7EA3" w:rsidP="00B56A13"/>
    <w:p w14:paraId="35293491" w14:textId="77777777" w:rsidR="00B56A13" w:rsidRDefault="00B56A13" w:rsidP="00B56A13">
      <w:r>
        <w:t>Class 15</w:t>
      </w:r>
      <w:r w:rsidR="009A7EA3">
        <w:tab/>
      </w:r>
      <w:r w:rsidR="009A7EA3">
        <w:rPr>
          <w:b/>
        </w:rPr>
        <w:t>“Use” under the Lanham Act’s infringement provisions</w:t>
      </w:r>
    </w:p>
    <w:p w14:paraId="08D268B6" w14:textId="77777777" w:rsidR="009A7EA3" w:rsidRPr="009A7EA3" w:rsidRDefault="009A7EA3" w:rsidP="00B56A13">
      <w:r>
        <w:tab/>
      </w:r>
      <w:r>
        <w:tab/>
      </w:r>
      <w:proofErr w:type="gramStart"/>
      <w:r>
        <w:t>pp</w:t>
      </w:r>
      <w:proofErr w:type="gramEnd"/>
      <w:r>
        <w:t>. 3-26 (</w:t>
      </w:r>
      <w:proofErr w:type="spellStart"/>
      <w:r>
        <w:rPr>
          <w:i/>
        </w:rPr>
        <w:t>Rescuecom</w:t>
      </w:r>
      <w:proofErr w:type="spellEnd"/>
      <w:r>
        <w:rPr>
          <w:i/>
        </w:rPr>
        <w:t xml:space="preserve"> v. Google; </w:t>
      </w:r>
      <w:proofErr w:type="spellStart"/>
      <w:r>
        <w:rPr>
          <w:i/>
        </w:rPr>
        <w:t>Bosley</w:t>
      </w:r>
      <w:proofErr w:type="spellEnd"/>
      <w:r>
        <w:rPr>
          <w:i/>
        </w:rPr>
        <w:t xml:space="preserve"> v. Kremer</w:t>
      </w:r>
      <w:r>
        <w:t>)</w:t>
      </w:r>
    </w:p>
    <w:p w14:paraId="0B07BB4D" w14:textId="77777777" w:rsidR="009A7EA3" w:rsidRDefault="009A7EA3" w:rsidP="00B56A13"/>
    <w:p w14:paraId="42A940C1" w14:textId="77777777" w:rsidR="009D41C9" w:rsidRPr="009D41C9" w:rsidRDefault="009A7EA3" w:rsidP="00B56A13">
      <w:pPr>
        <w:rPr>
          <w:b/>
        </w:rPr>
      </w:pPr>
      <w:r>
        <w:t>Class 16</w:t>
      </w:r>
      <w:r>
        <w:tab/>
      </w:r>
      <w:r w:rsidR="009D41C9">
        <w:rPr>
          <w:b/>
        </w:rPr>
        <w:t>Confusion-based trademark theories – intro to LOC</w:t>
      </w:r>
    </w:p>
    <w:p w14:paraId="72260666" w14:textId="77777777" w:rsidR="009A7EA3" w:rsidRPr="009D41C9" w:rsidRDefault="00A75C6B" w:rsidP="009D41C9">
      <w:pPr>
        <w:ind w:left="720" w:firstLine="720"/>
      </w:pPr>
      <w:proofErr w:type="gramStart"/>
      <w:r>
        <w:t>pp</w:t>
      </w:r>
      <w:proofErr w:type="gramEnd"/>
      <w:r>
        <w:t xml:space="preserve">. </w:t>
      </w:r>
      <w:r w:rsidR="009D41C9">
        <w:t>26-51  (</w:t>
      </w:r>
      <w:r w:rsidR="009D41C9">
        <w:rPr>
          <w:i/>
        </w:rPr>
        <w:t xml:space="preserve">Borden v. Borden’s; Polaroid v. </w:t>
      </w:r>
      <w:proofErr w:type="spellStart"/>
      <w:r w:rsidR="009D41C9">
        <w:rPr>
          <w:i/>
        </w:rPr>
        <w:t>Polarad</w:t>
      </w:r>
      <w:proofErr w:type="spellEnd"/>
      <w:r w:rsidR="009D41C9">
        <w:rPr>
          <w:i/>
        </w:rPr>
        <w:t xml:space="preserve">; Virgin v. </w:t>
      </w:r>
      <w:proofErr w:type="spellStart"/>
      <w:r w:rsidR="009D41C9">
        <w:rPr>
          <w:i/>
        </w:rPr>
        <w:t>Nawab</w:t>
      </w:r>
      <w:proofErr w:type="spellEnd"/>
      <w:r w:rsidR="009D41C9">
        <w:t>)</w:t>
      </w:r>
    </w:p>
    <w:p w14:paraId="37D0728A" w14:textId="77777777" w:rsidR="00A75C6B" w:rsidRDefault="00A75C6B" w:rsidP="00B56A13"/>
    <w:p w14:paraId="52C6D8CC" w14:textId="77777777" w:rsidR="009D41C9" w:rsidRPr="009D41C9" w:rsidRDefault="00A75C6B" w:rsidP="00B56A13">
      <w:pPr>
        <w:rPr>
          <w:b/>
        </w:rPr>
      </w:pPr>
      <w:r>
        <w:t>Class 17</w:t>
      </w:r>
      <w:r>
        <w:tab/>
      </w:r>
      <w:r w:rsidR="009D41C9">
        <w:rPr>
          <w:b/>
        </w:rPr>
        <w:t>Survey evidence on confusion; sponsorship confusion</w:t>
      </w:r>
    </w:p>
    <w:p w14:paraId="3177DA95" w14:textId="77777777" w:rsidR="00A75C6B" w:rsidRDefault="00A75C6B" w:rsidP="009D41C9">
      <w:pPr>
        <w:ind w:left="1440"/>
      </w:pPr>
      <w:proofErr w:type="gramStart"/>
      <w:r>
        <w:t>pp</w:t>
      </w:r>
      <w:proofErr w:type="gramEnd"/>
      <w:r>
        <w:t xml:space="preserve">. </w:t>
      </w:r>
      <w:r w:rsidR="009D41C9">
        <w:t>51</w:t>
      </w:r>
      <w:r>
        <w:t>-79</w:t>
      </w:r>
      <w:r w:rsidR="009D41C9">
        <w:t xml:space="preserve"> (</w:t>
      </w:r>
      <w:r w:rsidR="009D41C9">
        <w:rPr>
          <w:i/>
        </w:rPr>
        <w:t xml:space="preserve">Smith v. Wal-Mart; </w:t>
      </w:r>
      <w:proofErr w:type="spellStart"/>
      <w:r w:rsidR="009D41C9">
        <w:t>Lemley</w:t>
      </w:r>
      <w:proofErr w:type="spellEnd"/>
      <w:r w:rsidR="009D41C9">
        <w:t xml:space="preserve"> &amp; McKenna, </w:t>
      </w:r>
      <w:r w:rsidR="009D41C9">
        <w:rPr>
          <w:i/>
        </w:rPr>
        <w:t>Irrelevant Confusion</w:t>
      </w:r>
      <w:r w:rsidR="009D41C9">
        <w:t xml:space="preserve"> (excerpt))</w:t>
      </w:r>
    </w:p>
    <w:p w14:paraId="5E09631D" w14:textId="77777777" w:rsidR="009D41C9" w:rsidRDefault="009D41C9" w:rsidP="009D41C9"/>
    <w:p w14:paraId="292C3956" w14:textId="77777777" w:rsidR="009D41C9" w:rsidRDefault="009D41C9" w:rsidP="009D41C9">
      <w:pPr>
        <w:rPr>
          <w:b/>
        </w:rPr>
      </w:pPr>
      <w:r>
        <w:t>Class 18</w:t>
      </w:r>
      <w:r>
        <w:tab/>
      </w:r>
      <w:r>
        <w:rPr>
          <w:b/>
        </w:rPr>
        <w:t>Initial interest confusion; post-sale confusion</w:t>
      </w:r>
    </w:p>
    <w:p w14:paraId="20A05E01" w14:textId="77777777" w:rsidR="009D41C9" w:rsidRDefault="009D41C9" w:rsidP="009D41C9">
      <w:pPr>
        <w:ind w:left="1440"/>
      </w:pPr>
      <w:proofErr w:type="gramStart"/>
      <w:r>
        <w:t>pp</w:t>
      </w:r>
      <w:proofErr w:type="gramEnd"/>
      <w:r>
        <w:t>. 79-110  (</w:t>
      </w:r>
      <w:r>
        <w:rPr>
          <w:i/>
        </w:rPr>
        <w:t>Network Automation v. Advanced Systems Concepts</w:t>
      </w:r>
      <w:r>
        <w:t xml:space="preserve">; </w:t>
      </w:r>
      <w:r>
        <w:rPr>
          <w:i/>
        </w:rPr>
        <w:t>Ferrari v. Roberts</w:t>
      </w:r>
      <w:r>
        <w:t>)</w:t>
      </w:r>
    </w:p>
    <w:p w14:paraId="434303F6" w14:textId="77777777" w:rsidR="009D41C9" w:rsidRDefault="009D41C9" w:rsidP="009D41C9"/>
    <w:p w14:paraId="7CFBC5A9" w14:textId="77777777" w:rsidR="009D41C9" w:rsidRDefault="009D41C9" w:rsidP="009D41C9">
      <w:pPr>
        <w:rPr>
          <w:b/>
        </w:rPr>
      </w:pPr>
      <w:r>
        <w:t>Class 19</w:t>
      </w:r>
      <w:r>
        <w:tab/>
      </w:r>
      <w:r>
        <w:rPr>
          <w:b/>
        </w:rPr>
        <w:t>Reverse confusion &amp; reverse passing off; § 2(d) confusion</w:t>
      </w:r>
    </w:p>
    <w:p w14:paraId="61DAE7AB" w14:textId="77777777" w:rsidR="009D41C9" w:rsidRDefault="009D41C9" w:rsidP="009D41C9">
      <w:pPr>
        <w:ind w:left="1440"/>
      </w:pPr>
      <w:proofErr w:type="gramStart"/>
      <w:r>
        <w:t>pp</w:t>
      </w:r>
      <w:proofErr w:type="gramEnd"/>
      <w:r>
        <w:t>.  110-140 (</w:t>
      </w:r>
      <w:r>
        <w:rPr>
          <w:i/>
        </w:rPr>
        <w:t xml:space="preserve">A&amp;H Sportswear v. Victoria’s Secret; </w:t>
      </w:r>
      <w:proofErr w:type="spellStart"/>
      <w:r>
        <w:rPr>
          <w:i/>
        </w:rPr>
        <w:t>Dastar</w:t>
      </w:r>
      <w:proofErr w:type="spellEnd"/>
      <w:r>
        <w:rPr>
          <w:i/>
        </w:rPr>
        <w:t xml:space="preserve"> v. Twentieth Century Fox</w:t>
      </w:r>
      <w:r>
        <w:t>)</w:t>
      </w:r>
    </w:p>
    <w:p w14:paraId="523A820F" w14:textId="77777777" w:rsidR="00DD6E24" w:rsidRDefault="00DD6E24" w:rsidP="00DD6E24"/>
    <w:p w14:paraId="299C58D6" w14:textId="77777777" w:rsidR="00DD6E24" w:rsidRDefault="00DD6E24" w:rsidP="00DD6E24">
      <w:r>
        <w:t>Class 20</w:t>
      </w:r>
      <w:r>
        <w:tab/>
      </w:r>
      <w:r>
        <w:rPr>
          <w:b/>
        </w:rPr>
        <w:t>Dilution – intro and blurring</w:t>
      </w:r>
    </w:p>
    <w:p w14:paraId="6E08C5FB" w14:textId="77777777" w:rsidR="00DD6E24" w:rsidRDefault="00DD6E24" w:rsidP="00DD6E24">
      <w:pPr>
        <w:ind w:left="1440"/>
      </w:pPr>
      <w:proofErr w:type="gramStart"/>
      <w:r>
        <w:t>pp</w:t>
      </w:r>
      <w:proofErr w:type="gramEnd"/>
      <w:r>
        <w:t>. 141-175 (</w:t>
      </w:r>
      <w:r>
        <w:rPr>
          <w:i/>
        </w:rPr>
        <w:t xml:space="preserve">Nike v. </w:t>
      </w:r>
      <w:proofErr w:type="spellStart"/>
      <w:r>
        <w:rPr>
          <w:i/>
        </w:rPr>
        <w:t>NikePal</w:t>
      </w:r>
      <w:proofErr w:type="spellEnd"/>
      <w:r>
        <w:t xml:space="preserve">; </w:t>
      </w:r>
      <w:r>
        <w:rPr>
          <w:i/>
        </w:rPr>
        <w:t>Starbucks v. Wolfe’s Borough</w:t>
      </w:r>
      <w:r>
        <w:t>)</w:t>
      </w:r>
    </w:p>
    <w:p w14:paraId="61A02FE2" w14:textId="77777777" w:rsidR="00DD6E24" w:rsidRDefault="00DD6E24" w:rsidP="00DD6E24"/>
    <w:p w14:paraId="5959DB20" w14:textId="77777777" w:rsidR="00DD6E24" w:rsidRDefault="00DD6E24" w:rsidP="00DD6E24">
      <w:r>
        <w:t>Class 21</w:t>
      </w:r>
      <w:r>
        <w:tab/>
      </w:r>
      <w:r>
        <w:rPr>
          <w:b/>
        </w:rPr>
        <w:t xml:space="preserve">Dilution – </w:t>
      </w:r>
      <w:proofErr w:type="spellStart"/>
      <w:r>
        <w:rPr>
          <w:b/>
        </w:rPr>
        <w:t>tarnishment</w:t>
      </w:r>
      <w:proofErr w:type="spellEnd"/>
      <w:r>
        <w:rPr>
          <w:b/>
        </w:rPr>
        <w:t>; note on cybersquatting; secondary liability</w:t>
      </w:r>
    </w:p>
    <w:p w14:paraId="67383549" w14:textId="77777777" w:rsidR="00DD6E24" w:rsidRDefault="00DD6E24" w:rsidP="00DD6E24">
      <w:pPr>
        <w:ind w:left="1440"/>
      </w:pPr>
      <w:proofErr w:type="gramStart"/>
      <w:r>
        <w:t>pp</w:t>
      </w:r>
      <w:proofErr w:type="gramEnd"/>
      <w:r>
        <w:t>. 175-197  (</w:t>
      </w:r>
      <w:r>
        <w:rPr>
          <w:i/>
        </w:rPr>
        <w:t>Victoria’s Secret v. Moseley; facts only of Tiffany v. eBay</w:t>
      </w:r>
      <w:r>
        <w:t>)</w:t>
      </w:r>
    </w:p>
    <w:p w14:paraId="7261297A" w14:textId="77777777" w:rsidR="00DD6E24" w:rsidRDefault="00DD6E24" w:rsidP="00DD6E24"/>
    <w:p w14:paraId="1481261C" w14:textId="77777777" w:rsidR="00DD6E24" w:rsidRDefault="00DD6E24" w:rsidP="00DD6E24">
      <w:r>
        <w:lastRenderedPageBreak/>
        <w:t>Class 22</w:t>
      </w:r>
      <w:r>
        <w:tab/>
      </w:r>
      <w:r>
        <w:rPr>
          <w:b/>
        </w:rPr>
        <w:t>Secondary liability cont’d</w:t>
      </w:r>
    </w:p>
    <w:p w14:paraId="399FAC28" w14:textId="77777777" w:rsidR="00DD6E24" w:rsidRDefault="00DD6E24" w:rsidP="00DD6E24">
      <w:pPr>
        <w:ind w:left="1440"/>
      </w:pPr>
      <w:proofErr w:type="gramStart"/>
      <w:r>
        <w:t>pp</w:t>
      </w:r>
      <w:proofErr w:type="gramEnd"/>
      <w:r>
        <w:t>. 197-221 (</w:t>
      </w:r>
      <w:r>
        <w:rPr>
          <w:i/>
        </w:rPr>
        <w:t>Tiffany v. eBay cont’d; Gucci v. Frontline</w:t>
      </w:r>
      <w:r>
        <w:t>)</w:t>
      </w:r>
    </w:p>
    <w:p w14:paraId="3D9C45E9" w14:textId="77777777" w:rsidR="00DD6E24" w:rsidRDefault="00DD6E24" w:rsidP="00DD6E24"/>
    <w:p w14:paraId="208D5323" w14:textId="0398B72B" w:rsidR="002D73C2" w:rsidRPr="002D73C2" w:rsidRDefault="002D73C2" w:rsidP="002D73C2">
      <w:pPr>
        <w:pStyle w:val="ListParagraph"/>
        <w:numPr>
          <w:ilvl w:val="0"/>
          <w:numId w:val="1"/>
        </w:numPr>
        <w:rPr>
          <w:b/>
        </w:rPr>
      </w:pPr>
      <w:r w:rsidRPr="002D73C2">
        <w:rPr>
          <w:b/>
        </w:rPr>
        <w:t>Defenses (Part III of casebook)</w:t>
      </w:r>
    </w:p>
    <w:p w14:paraId="68BB2CF8" w14:textId="77777777" w:rsidR="002D73C2" w:rsidRDefault="002D73C2" w:rsidP="00DD6E24"/>
    <w:p w14:paraId="2F32CB25" w14:textId="6CEDB888" w:rsidR="00DD6E24" w:rsidRDefault="00DD6E24" w:rsidP="00DD6E24">
      <w:r>
        <w:t xml:space="preserve">Class </w:t>
      </w:r>
      <w:proofErr w:type="gramStart"/>
      <w:r>
        <w:t>23</w:t>
      </w:r>
      <w:r>
        <w:tab/>
      </w:r>
      <w:r w:rsidR="005E061D">
        <w:rPr>
          <w:b/>
        </w:rPr>
        <w:t>Descriptive fair use</w:t>
      </w:r>
      <w:proofErr w:type="gramEnd"/>
    </w:p>
    <w:p w14:paraId="76CD3DF4" w14:textId="6ADBA5B1" w:rsidR="005E061D" w:rsidRPr="005E061D" w:rsidRDefault="005E061D" w:rsidP="005E061D">
      <w:pPr>
        <w:ind w:left="1440"/>
      </w:pPr>
      <w:proofErr w:type="gramStart"/>
      <w:r>
        <w:t>pp</w:t>
      </w:r>
      <w:proofErr w:type="gramEnd"/>
      <w:r>
        <w:t>. 2-34 (</w:t>
      </w:r>
      <w:r>
        <w:rPr>
          <w:i/>
        </w:rPr>
        <w:t>KP Permanent v. Lasting Impression; Dessert Beauty v. Fox; Kelly-Brown v. Winfrey; International Stamp Art v. USPS; Bell v. Harley Davidson; Fortune Dynamic v. Victoria’s Secret</w:t>
      </w:r>
      <w:r>
        <w:t>)</w:t>
      </w:r>
    </w:p>
    <w:p w14:paraId="5D42F63F" w14:textId="77777777" w:rsidR="005E061D" w:rsidRDefault="005E061D" w:rsidP="00DD6E24"/>
    <w:p w14:paraId="2DE9A253" w14:textId="7F18B374" w:rsidR="00DD6E24" w:rsidRDefault="00DD6E24" w:rsidP="00DD6E24">
      <w:pPr>
        <w:rPr>
          <w:b/>
        </w:rPr>
      </w:pPr>
      <w:r>
        <w:t>Class 24</w:t>
      </w:r>
      <w:r w:rsidR="002D73C2">
        <w:tab/>
      </w:r>
      <w:r w:rsidR="005E061D">
        <w:rPr>
          <w:b/>
        </w:rPr>
        <w:t>Nominative fair use; intro to expressive uses</w:t>
      </w:r>
    </w:p>
    <w:p w14:paraId="71A9691E" w14:textId="5573AB0C" w:rsidR="005E061D" w:rsidRPr="005E061D" w:rsidRDefault="005E061D" w:rsidP="005E061D">
      <w:pPr>
        <w:ind w:left="1440"/>
      </w:pPr>
      <w:proofErr w:type="gramStart"/>
      <w:r>
        <w:t>pp</w:t>
      </w:r>
      <w:proofErr w:type="gramEnd"/>
      <w:r>
        <w:t>. 34-62 (</w:t>
      </w:r>
      <w:r>
        <w:rPr>
          <w:i/>
        </w:rPr>
        <w:t xml:space="preserve">Toyota v. </w:t>
      </w:r>
      <w:proofErr w:type="spellStart"/>
      <w:r>
        <w:rPr>
          <w:i/>
        </w:rPr>
        <w:t>Tabari</w:t>
      </w:r>
      <w:proofErr w:type="spellEnd"/>
      <w:r>
        <w:rPr>
          <w:i/>
        </w:rPr>
        <w:t>; Tiffany v. eBay;</w:t>
      </w:r>
      <w:r>
        <w:t xml:space="preserve"> </w:t>
      </w:r>
      <w:r>
        <w:rPr>
          <w:i/>
        </w:rPr>
        <w:t xml:space="preserve">Louis Vuitton v. Haute </w:t>
      </w:r>
      <w:proofErr w:type="spellStart"/>
      <w:r>
        <w:rPr>
          <w:i/>
        </w:rPr>
        <w:t>Diggity</w:t>
      </w:r>
      <w:proofErr w:type="spellEnd"/>
      <w:r>
        <w:rPr>
          <w:i/>
        </w:rPr>
        <w:t xml:space="preserve"> Dog (through discussion of TM infringement claim</w:t>
      </w:r>
      <w:r>
        <w:t>))</w:t>
      </w:r>
    </w:p>
    <w:p w14:paraId="2C72FD5F" w14:textId="77777777" w:rsidR="005E061D" w:rsidRPr="005E061D" w:rsidRDefault="005E061D" w:rsidP="005E061D">
      <w:pPr>
        <w:ind w:left="1440"/>
      </w:pPr>
    </w:p>
    <w:p w14:paraId="17856403" w14:textId="6E96D6CE" w:rsidR="00DD6E24" w:rsidRDefault="00DD6E24" w:rsidP="00DD6E24">
      <w:pPr>
        <w:rPr>
          <w:b/>
        </w:rPr>
      </w:pPr>
      <w:r>
        <w:t>Class 25</w:t>
      </w:r>
      <w:r w:rsidR="002D73C2">
        <w:tab/>
      </w:r>
      <w:r w:rsidR="005E061D">
        <w:rPr>
          <w:b/>
        </w:rPr>
        <w:t>Expressive uses cont’d; intro to abandonment</w:t>
      </w:r>
    </w:p>
    <w:p w14:paraId="5A6C6942" w14:textId="78AF16E4" w:rsidR="005E061D" w:rsidRDefault="005E061D" w:rsidP="005E061D">
      <w:pPr>
        <w:ind w:left="1440"/>
      </w:pPr>
      <w:proofErr w:type="gramStart"/>
      <w:r>
        <w:t>pp</w:t>
      </w:r>
      <w:proofErr w:type="gramEnd"/>
      <w:r>
        <w:t>. 63-90, 95-104 (</w:t>
      </w:r>
      <w:r>
        <w:rPr>
          <w:i/>
        </w:rPr>
        <w:t xml:space="preserve">Luis Vuitton v. Haute </w:t>
      </w:r>
      <w:proofErr w:type="spellStart"/>
      <w:r>
        <w:rPr>
          <w:i/>
        </w:rPr>
        <w:t>Diggity</w:t>
      </w:r>
      <w:proofErr w:type="spellEnd"/>
      <w:r>
        <w:rPr>
          <w:i/>
        </w:rPr>
        <w:t xml:space="preserve"> Dog (</w:t>
      </w:r>
      <w:r>
        <w:rPr>
          <w:i/>
        </w:rPr>
        <w:t xml:space="preserve">cont’d; discussion of dilution claim; ESS Entertainment v. Rock Star Videos; Brown v. Electronic Arts; Mattel v. MCA Records; Louis Vuitton v. Hyundai; MPS </w:t>
      </w:r>
      <w:proofErr w:type="spellStart"/>
      <w:r>
        <w:rPr>
          <w:i/>
        </w:rPr>
        <w:t>Entm’t</w:t>
      </w:r>
      <w:proofErr w:type="spellEnd"/>
      <w:r>
        <w:rPr>
          <w:i/>
        </w:rPr>
        <w:t xml:space="preserve"> v. Abercrombie &amp; Fitch; </w:t>
      </w:r>
      <w:r>
        <w:rPr>
          <w:i/>
        </w:rPr>
        <w:t xml:space="preserve">ITC v. </w:t>
      </w:r>
      <w:proofErr w:type="spellStart"/>
      <w:r>
        <w:rPr>
          <w:i/>
        </w:rPr>
        <w:t>Punchgini</w:t>
      </w:r>
      <w:proofErr w:type="spellEnd"/>
      <w:r>
        <w:rPr>
          <w:i/>
        </w:rPr>
        <w:t>)</w:t>
      </w:r>
      <w:r>
        <w:t xml:space="preserve"> </w:t>
      </w:r>
    </w:p>
    <w:p w14:paraId="2BBB8570" w14:textId="35A77FC4" w:rsidR="005E061D" w:rsidRPr="005E061D" w:rsidRDefault="005E061D" w:rsidP="005E061D">
      <w:pPr>
        <w:ind w:left="1440"/>
      </w:pPr>
      <w:r>
        <w:t>The documents regarding the Penn Law School controversy (pp. 91-95) are entertaining and optional.</w:t>
      </w:r>
    </w:p>
    <w:p w14:paraId="0C0EE7B0" w14:textId="77777777" w:rsidR="005E061D" w:rsidRPr="005E061D" w:rsidRDefault="005E061D" w:rsidP="00DD6E24">
      <w:pPr>
        <w:rPr>
          <w:b/>
        </w:rPr>
      </w:pPr>
    </w:p>
    <w:p w14:paraId="79E4F384" w14:textId="62B88D1F" w:rsidR="009D41C9" w:rsidRDefault="00DD6E24" w:rsidP="009D41C9">
      <w:r>
        <w:t>Class 26</w:t>
      </w:r>
      <w:r w:rsidR="00533108">
        <w:tab/>
      </w:r>
      <w:r w:rsidR="005E061D">
        <w:rPr>
          <w:b/>
        </w:rPr>
        <w:t>Trademark abandonment; first sale</w:t>
      </w:r>
    </w:p>
    <w:p w14:paraId="2DF08899" w14:textId="585A633E" w:rsidR="005E061D" w:rsidRPr="005E061D" w:rsidRDefault="005E061D" w:rsidP="005E061D">
      <w:pPr>
        <w:ind w:left="1440"/>
      </w:pPr>
      <w:proofErr w:type="gramStart"/>
      <w:r>
        <w:t>pp</w:t>
      </w:r>
      <w:proofErr w:type="gramEnd"/>
      <w:r>
        <w:t>. 104-136 (</w:t>
      </w:r>
      <w:r>
        <w:rPr>
          <w:i/>
        </w:rPr>
        <w:t xml:space="preserve">Crash Dummy v. Mattel; </w:t>
      </w:r>
      <w:proofErr w:type="spellStart"/>
      <w:r>
        <w:rPr>
          <w:i/>
        </w:rPr>
        <w:t>FreecycleSunnyvale</w:t>
      </w:r>
      <w:proofErr w:type="spellEnd"/>
      <w:r>
        <w:rPr>
          <w:i/>
        </w:rPr>
        <w:t xml:space="preserve"> v. </w:t>
      </w:r>
      <w:proofErr w:type="spellStart"/>
      <w:r>
        <w:rPr>
          <w:i/>
        </w:rPr>
        <w:t>Freecycle</w:t>
      </w:r>
      <w:proofErr w:type="spellEnd"/>
      <w:r>
        <w:rPr>
          <w:i/>
        </w:rPr>
        <w:t xml:space="preserve"> Network; Champion Spark Plug v. Sanders; Nitro Leisure Prods v. Acushnet</w:t>
      </w:r>
      <w:r>
        <w:t>)</w:t>
      </w:r>
    </w:p>
    <w:sectPr w:rsidR="005E061D" w:rsidRPr="005E061D" w:rsidSect="00826F4B">
      <w:footerReference w:type="even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F2702" w14:textId="77777777" w:rsidR="00533108" w:rsidRDefault="00533108">
      <w:r>
        <w:separator/>
      </w:r>
    </w:p>
  </w:endnote>
  <w:endnote w:type="continuationSeparator" w:id="0">
    <w:p w14:paraId="4AA7CDC8" w14:textId="77777777" w:rsidR="00533108" w:rsidRDefault="0053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99B65" w14:textId="77777777" w:rsidR="00533108" w:rsidRDefault="00533108" w:rsidP="00826F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8B50C7" w14:textId="77777777" w:rsidR="00533108" w:rsidRDefault="0053310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F3701" w14:textId="77777777" w:rsidR="00533108" w:rsidRDefault="00533108" w:rsidP="00826F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6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1DDE373" w14:textId="77777777" w:rsidR="00533108" w:rsidRDefault="0053310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F12E6" w14:textId="77777777" w:rsidR="00533108" w:rsidRDefault="00533108">
      <w:r>
        <w:separator/>
      </w:r>
    </w:p>
  </w:footnote>
  <w:footnote w:type="continuationSeparator" w:id="0">
    <w:p w14:paraId="064389B0" w14:textId="77777777" w:rsidR="00533108" w:rsidRDefault="00533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E8066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74DC5"/>
    <w:multiLevelType w:val="hybridMultilevel"/>
    <w:tmpl w:val="A0FE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C2633"/>
    <w:multiLevelType w:val="hybridMultilevel"/>
    <w:tmpl w:val="946EB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B244476"/>
    <w:multiLevelType w:val="hybridMultilevel"/>
    <w:tmpl w:val="DBA002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173457B"/>
    <w:multiLevelType w:val="hybridMultilevel"/>
    <w:tmpl w:val="82D465B2"/>
    <w:lvl w:ilvl="0" w:tplc="23B662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864BD6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304E7EC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BC9AD5BE">
      <w:start w:val="4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92F62"/>
    <w:multiLevelType w:val="hybridMultilevel"/>
    <w:tmpl w:val="3B0EF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59641A8"/>
    <w:multiLevelType w:val="hybridMultilevel"/>
    <w:tmpl w:val="3328115C"/>
    <w:lvl w:ilvl="0" w:tplc="3DFE8F5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1C35CB"/>
    <w:multiLevelType w:val="hybridMultilevel"/>
    <w:tmpl w:val="8A2059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45298E"/>
    <w:multiLevelType w:val="hybridMultilevel"/>
    <w:tmpl w:val="D69A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A6BBE"/>
    <w:multiLevelType w:val="hybridMultilevel"/>
    <w:tmpl w:val="82D465B2"/>
    <w:lvl w:ilvl="0" w:tplc="23B662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864BD6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304E7EC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BC9AD5BE">
      <w:start w:val="4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6D766D"/>
    <w:multiLevelType w:val="hybridMultilevel"/>
    <w:tmpl w:val="298641EC"/>
    <w:lvl w:ilvl="0" w:tplc="E82678FE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7F"/>
    <w:rsid w:val="0001206D"/>
    <w:rsid w:val="00022488"/>
    <w:rsid w:val="000C0C8F"/>
    <w:rsid w:val="000D0FB3"/>
    <w:rsid w:val="000F09A8"/>
    <w:rsid w:val="0011260E"/>
    <w:rsid w:val="001972C4"/>
    <w:rsid w:val="002019AE"/>
    <w:rsid w:val="002B49F1"/>
    <w:rsid w:val="002C4BF4"/>
    <w:rsid w:val="002D73C2"/>
    <w:rsid w:val="002F30F8"/>
    <w:rsid w:val="003D1BD5"/>
    <w:rsid w:val="003E6FA9"/>
    <w:rsid w:val="003F6A01"/>
    <w:rsid w:val="00497D45"/>
    <w:rsid w:val="004A1A87"/>
    <w:rsid w:val="00533108"/>
    <w:rsid w:val="00551832"/>
    <w:rsid w:val="0058091D"/>
    <w:rsid w:val="00585362"/>
    <w:rsid w:val="005E061D"/>
    <w:rsid w:val="00657B39"/>
    <w:rsid w:val="00662A12"/>
    <w:rsid w:val="00703B45"/>
    <w:rsid w:val="00715794"/>
    <w:rsid w:val="00775AA9"/>
    <w:rsid w:val="0079695E"/>
    <w:rsid w:val="007C5D12"/>
    <w:rsid w:val="007D5C91"/>
    <w:rsid w:val="00822F61"/>
    <w:rsid w:val="00824BAF"/>
    <w:rsid w:val="00826F4B"/>
    <w:rsid w:val="00832855"/>
    <w:rsid w:val="00840C7F"/>
    <w:rsid w:val="00856971"/>
    <w:rsid w:val="008C6FE6"/>
    <w:rsid w:val="008D7B64"/>
    <w:rsid w:val="008E48FE"/>
    <w:rsid w:val="00906379"/>
    <w:rsid w:val="00940DF0"/>
    <w:rsid w:val="00956B1B"/>
    <w:rsid w:val="009A7EA3"/>
    <w:rsid w:val="009C0DF2"/>
    <w:rsid w:val="009D41C9"/>
    <w:rsid w:val="009D65B9"/>
    <w:rsid w:val="009E56FD"/>
    <w:rsid w:val="00A75C6B"/>
    <w:rsid w:val="00A75FD0"/>
    <w:rsid w:val="00AB4B94"/>
    <w:rsid w:val="00AB7B4C"/>
    <w:rsid w:val="00AE5742"/>
    <w:rsid w:val="00B07492"/>
    <w:rsid w:val="00B25EFF"/>
    <w:rsid w:val="00B26C13"/>
    <w:rsid w:val="00B51387"/>
    <w:rsid w:val="00B56A13"/>
    <w:rsid w:val="00B837CC"/>
    <w:rsid w:val="00BB37F0"/>
    <w:rsid w:val="00BC32A8"/>
    <w:rsid w:val="00C70D54"/>
    <w:rsid w:val="00C90FF2"/>
    <w:rsid w:val="00CC56CE"/>
    <w:rsid w:val="00CE37DF"/>
    <w:rsid w:val="00D647E8"/>
    <w:rsid w:val="00D665AC"/>
    <w:rsid w:val="00D8225B"/>
    <w:rsid w:val="00D946F7"/>
    <w:rsid w:val="00DB113A"/>
    <w:rsid w:val="00DB6B3C"/>
    <w:rsid w:val="00DD6E24"/>
    <w:rsid w:val="00E3725D"/>
    <w:rsid w:val="00E465F5"/>
    <w:rsid w:val="00EF172C"/>
    <w:rsid w:val="00EF773B"/>
    <w:rsid w:val="00F15969"/>
    <w:rsid w:val="00F31DAA"/>
    <w:rsid w:val="00F47A7A"/>
    <w:rsid w:val="00FE5E62"/>
    <w:rsid w:val="00FF3F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F5A0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7F"/>
    <w:pPr>
      <w:widowControl w:val="0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rsid w:val="00840C7F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0C7F"/>
    <w:rPr>
      <w:color w:val="0000FF"/>
      <w:u w:val="single"/>
    </w:rPr>
  </w:style>
  <w:style w:type="paragraph" w:styleId="BodyTextIndent3">
    <w:name w:val="Body Text Indent 3"/>
    <w:basedOn w:val="Normal"/>
    <w:rsid w:val="00840C7F"/>
    <w:pPr>
      <w:ind w:left="720" w:firstLine="720"/>
    </w:pPr>
  </w:style>
  <w:style w:type="paragraph" w:styleId="Footer">
    <w:name w:val="footer"/>
    <w:basedOn w:val="Normal"/>
    <w:rsid w:val="00840C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0C7F"/>
  </w:style>
  <w:style w:type="character" w:styleId="FollowedHyperlink">
    <w:name w:val="FollowedHyperlink"/>
    <w:uiPriority w:val="99"/>
    <w:semiHidden/>
    <w:unhideWhenUsed/>
    <w:rsid w:val="006223A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97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7F"/>
    <w:pPr>
      <w:widowControl w:val="0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rsid w:val="00840C7F"/>
    <w:pPr>
      <w:keepNext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0C7F"/>
    <w:rPr>
      <w:color w:val="0000FF"/>
      <w:u w:val="single"/>
    </w:rPr>
  </w:style>
  <w:style w:type="paragraph" w:styleId="BodyTextIndent3">
    <w:name w:val="Body Text Indent 3"/>
    <w:basedOn w:val="Normal"/>
    <w:rsid w:val="00840C7F"/>
    <w:pPr>
      <w:ind w:left="720" w:firstLine="720"/>
    </w:pPr>
  </w:style>
  <w:style w:type="paragraph" w:styleId="Footer">
    <w:name w:val="footer"/>
    <w:basedOn w:val="Normal"/>
    <w:rsid w:val="00840C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0C7F"/>
  </w:style>
  <w:style w:type="character" w:styleId="FollowedHyperlink">
    <w:name w:val="FollowedHyperlink"/>
    <w:uiPriority w:val="99"/>
    <w:semiHidden/>
    <w:unhideWhenUsed/>
    <w:rsid w:val="006223A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97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chwimmerlegal.com/" TargetMode="External"/><Relationship Id="rId12" Type="http://schemas.openxmlformats.org/officeDocument/2006/relationships/hyperlink" Target="http://thettablog.blogspot.com/" TargetMode="External"/><Relationship Id="rId13" Type="http://schemas.openxmlformats.org/officeDocument/2006/relationships/hyperlink" Target="http://ipkitten.blogspot.com/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dogan@bu.edu" TargetMode="External"/><Relationship Id="rId9" Type="http://schemas.openxmlformats.org/officeDocument/2006/relationships/hyperlink" Target="http://tushnet.blogspot.com/" TargetMode="External"/><Relationship Id="rId10" Type="http://schemas.openxmlformats.org/officeDocument/2006/relationships/hyperlink" Target="http://blog.ericgoldma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1129</Words>
  <Characters>6436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Trademark &amp; Unfair Competition Law</vt:lpstr>
    </vt:vector>
  </TitlesOfParts>
  <Company>Boston University School of Law</Company>
  <LinksUpToDate>false</LinksUpToDate>
  <CharactersWithSpaces>7550</CharactersWithSpaces>
  <SharedDoc>false</SharedDoc>
  <HLinks>
    <vt:vector size="30" baseType="variant">
      <vt:variant>
        <vt:i4>7077888</vt:i4>
      </vt:variant>
      <vt:variant>
        <vt:i4>12</vt:i4>
      </vt:variant>
      <vt:variant>
        <vt:i4>0</vt:i4>
      </vt:variant>
      <vt:variant>
        <vt:i4>5</vt:i4>
      </vt:variant>
      <vt:variant>
        <vt:lpwstr>http://thettablog.blogspot.com/</vt:lpwstr>
      </vt:variant>
      <vt:variant>
        <vt:lpwstr/>
      </vt:variant>
      <vt:variant>
        <vt:i4>2883621</vt:i4>
      </vt:variant>
      <vt:variant>
        <vt:i4>9</vt:i4>
      </vt:variant>
      <vt:variant>
        <vt:i4>0</vt:i4>
      </vt:variant>
      <vt:variant>
        <vt:i4>5</vt:i4>
      </vt:variant>
      <vt:variant>
        <vt:lpwstr>http://www.schwimmerlegal.com/</vt:lpwstr>
      </vt:variant>
      <vt:variant>
        <vt:lpwstr/>
      </vt:variant>
      <vt:variant>
        <vt:i4>14</vt:i4>
      </vt:variant>
      <vt:variant>
        <vt:i4>6</vt:i4>
      </vt:variant>
      <vt:variant>
        <vt:i4>0</vt:i4>
      </vt:variant>
      <vt:variant>
        <vt:i4>5</vt:i4>
      </vt:variant>
      <vt:variant>
        <vt:lpwstr>http://blog.ericgoldman.org/</vt:lpwstr>
      </vt:variant>
      <vt:variant>
        <vt:lpwstr/>
      </vt:variant>
      <vt:variant>
        <vt:i4>1507445</vt:i4>
      </vt:variant>
      <vt:variant>
        <vt:i4>3</vt:i4>
      </vt:variant>
      <vt:variant>
        <vt:i4>0</vt:i4>
      </vt:variant>
      <vt:variant>
        <vt:i4>5</vt:i4>
      </vt:variant>
      <vt:variant>
        <vt:lpwstr>http://ipkitten.blogspot.com/</vt:lpwstr>
      </vt:variant>
      <vt:variant>
        <vt:lpwstr/>
      </vt:variant>
      <vt:variant>
        <vt:i4>4784222</vt:i4>
      </vt:variant>
      <vt:variant>
        <vt:i4>0</vt:i4>
      </vt:variant>
      <vt:variant>
        <vt:i4>0</vt:i4>
      </vt:variant>
      <vt:variant>
        <vt:i4>5</vt:i4>
      </vt:variant>
      <vt:variant>
        <vt:lpwstr>http://tushnet.blogspot.com/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Trademark &amp; Unfair Competition Law</dc:title>
  <dc:creator>sdogan</dc:creator>
  <cp:lastModifiedBy>Stacey Dogan </cp:lastModifiedBy>
  <cp:revision>5</cp:revision>
  <cp:lastPrinted>2014-09-08T15:07:00Z</cp:lastPrinted>
  <dcterms:created xsi:type="dcterms:W3CDTF">2014-08-29T17:47:00Z</dcterms:created>
  <dcterms:modified xsi:type="dcterms:W3CDTF">2014-09-10T18:14:00Z</dcterms:modified>
</cp:coreProperties>
</file>